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both"/>
        <w:rPr>
          <w:szCs w:val="24"/>
        </w:rPr>
      </w:pPr>
    </w:p>
    <w:p w:rsidR="008758A8" w:rsidRPr="0064311D" w:rsidRDefault="008758A8" w:rsidP="00990EBA">
      <w:pPr>
        <w:jc w:val="center"/>
        <w:rPr>
          <w:szCs w:val="24"/>
        </w:rPr>
      </w:pPr>
    </w:p>
    <w:p w:rsidR="008758A8" w:rsidRPr="0064311D" w:rsidRDefault="008758A8" w:rsidP="00990EBA">
      <w:pPr>
        <w:jc w:val="center"/>
        <w:rPr>
          <w:szCs w:val="24"/>
        </w:rPr>
      </w:pPr>
      <w:r w:rsidRPr="0064311D">
        <w:rPr>
          <w:szCs w:val="24"/>
        </w:rPr>
        <w:t>NICOS Chinese Health Coalition</w:t>
      </w:r>
    </w:p>
    <w:p w:rsidR="008758A8" w:rsidRPr="0064311D" w:rsidRDefault="00824213" w:rsidP="00990EBA">
      <w:pPr>
        <w:jc w:val="center"/>
        <w:rPr>
          <w:szCs w:val="24"/>
        </w:rPr>
      </w:pPr>
      <w:r w:rsidRPr="0064311D">
        <w:rPr>
          <w:szCs w:val="24"/>
        </w:rPr>
        <w:t xml:space="preserve">COMMUNITY </w:t>
      </w:r>
      <w:smartTag w:uri="urn:schemas-microsoft-com:office:smarttags" w:element="City">
        <w:smartTag w:uri="urn:schemas-microsoft-com:office:smarttags" w:element="place">
          <w:r w:rsidRPr="0064311D">
            <w:rPr>
              <w:szCs w:val="24"/>
            </w:rPr>
            <w:t>ALLIANCE</w:t>
          </w:r>
        </w:smartTag>
      </w:smartTag>
      <w:r w:rsidRPr="0064311D">
        <w:rPr>
          <w:szCs w:val="24"/>
        </w:rPr>
        <w:t xml:space="preserve"> FOR CLAS</w:t>
      </w:r>
    </w:p>
    <w:p w:rsidR="00747742" w:rsidRPr="0064311D" w:rsidRDefault="009705D1" w:rsidP="00990EBA">
      <w:pPr>
        <w:jc w:val="center"/>
        <w:rPr>
          <w:szCs w:val="24"/>
        </w:rPr>
      </w:pPr>
      <w:r w:rsidRPr="0064311D">
        <w:rPr>
          <w:szCs w:val="24"/>
        </w:rPr>
        <w:t>June</w:t>
      </w:r>
      <w:r w:rsidR="008E1779" w:rsidRPr="0064311D">
        <w:rPr>
          <w:szCs w:val="24"/>
        </w:rPr>
        <w:t xml:space="preserve"> </w:t>
      </w:r>
      <w:r w:rsidR="00747742" w:rsidRPr="0064311D">
        <w:rPr>
          <w:szCs w:val="24"/>
        </w:rPr>
        <w:t>2012</w:t>
      </w:r>
    </w:p>
    <w:p w:rsidR="008758A8" w:rsidRPr="0064311D" w:rsidRDefault="008758A8" w:rsidP="00990EBA">
      <w:pPr>
        <w:jc w:val="center"/>
        <w:rPr>
          <w:szCs w:val="24"/>
        </w:rPr>
      </w:pPr>
    </w:p>
    <w:p w:rsidR="009705D1" w:rsidRPr="0064311D" w:rsidRDefault="00554D8C" w:rsidP="00990EBA">
      <w:pPr>
        <w:jc w:val="center"/>
        <w:rPr>
          <w:sz w:val="32"/>
          <w:szCs w:val="32"/>
        </w:rPr>
      </w:pPr>
      <w:r w:rsidRPr="0064311D">
        <w:rPr>
          <w:sz w:val="32"/>
          <w:szCs w:val="32"/>
        </w:rPr>
        <w:t xml:space="preserve">Addressing the </w:t>
      </w:r>
      <w:r w:rsidR="00B5281C">
        <w:rPr>
          <w:sz w:val="32"/>
          <w:szCs w:val="32"/>
        </w:rPr>
        <w:t>N</w:t>
      </w:r>
      <w:r w:rsidRPr="0064311D">
        <w:rPr>
          <w:sz w:val="32"/>
          <w:szCs w:val="32"/>
        </w:rPr>
        <w:t xml:space="preserve">eeds of California’s </w:t>
      </w:r>
    </w:p>
    <w:p w:rsidR="00554D8C" w:rsidRPr="0064311D" w:rsidRDefault="00554D8C" w:rsidP="00990EBA">
      <w:pPr>
        <w:jc w:val="center"/>
        <w:rPr>
          <w:sz w:val="32"/>
          <w:szCs w:val="32"/>
        </w:rPr>
      </w:pPr>
      <w:r w:rsidRPr="0064311D">
        <w:rPr>
          <w:sz w:val="32"/>
          <w:szCs w:val="32"/>
        </w:rPr>
        <w:t xml:space="preserve">Limited English Proficient (LEP) Populations: </w:t>
      </w:r>
    </w:p>
    <w:p w:rsidR="008758A8" w:rsidRPr="0064311D" w:rsidRDefault="00554D8C" w:rsidP="00990EBA">
      <w:pPr>
        <w:jc w:val="center"/>
        <w:rPr>
          <w:sz w:val="32"/>
          <w:szCs w:val="32"/>
        </w:rPr>
      </w:pPr>
      <w:r w:rsidRPr="0064311D">
        <w:rPr>
          <w:sz w:val="32"/>
          <w:szCs w:val="32"/>
        </w:rPr>
        <w:t>A Statistical Report and Recommendations</w:t>
      </w: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p>
    <w:p w:rsidR="008758A8" w:rsidRPr="0064311D" w:rsidRDefault="008758A8" w:rsidP="00990EBA">
      <w:pPr>
        <w:jc w:val="center"/>
        <w:rPr>
          <w:szCs w:val="24"/>
        </w:rPr>
      </w:pPr>
      <w:r w:rsidRPr="0064311D">
        <w:rPr>
          <w:szCs w:val="24"/>
        </w:rPr>
        <w:t>Submitted by:</w:t>
      </w:r>
    </w:p>
    <w:p w:rsidR="008758A8" w:rsidRPr="0064311D" w:rsidRDefault="008758A8" w:rsidP="00990EBA">
      <w:pPr>
        <w:jc w:val="center"/>
        <w:rPr>
          <w:szCs w:val="24"/>
        </w:rPr>
      </w:pPr>
      <w:r w:rsidRPr="0064311D">
        <w:rPr>
          <w:szCs w:val="24"/>
        </w:rPr>
        <w:t>NICOS Chinese Health Coalition</w:t>
      </w:r>
    </w:p>
    <w:p w:rsidR="008758A8" w:rsidRPr="0064311D" w:rsidRDefault="008758A8" w:rsidP="00990EBA">
      <w:pPr>
        <w:jc w:val="center"/>
        <w:rPr>
          <w:szCs w:val="24"/>
        </w:rPr>
      </w:pPr>
      <w:smartTag w:uri="urn:schemas-microsoft-com:office:smarttags" w:element="Street">
        <w:smartTag w:uri="urn:schemas-microsoft-com:office:smarttags" w:element="address">
          <w:r w:rsidRPr="0064311D">
            <w:rPr>
              <w:szCs w:val="24"/>
            </w:rPr>
            <w:t>1208 Mason Street</w:t>
          </w:r>
        </w:smartTag>
      </w:smartTag>
    </w:p>
    <w:p w:rsidR="008758A8" w:rsidRPr="0064311D" w:rsidRDefault="008758A8" w:rsidP="00990EBA">
      <w:pPr>
        <w:jc w:val="center"/>
        <w:rPr>
          <w:szCs w:val="24"/>
        </w:rPr>
      </w:pPr>
      <w:smartTag w:uri="urn:schemas-microsoft-com:office:smarttags" w:element="place">
        <w:smartTag w:uri="urn:schemas-microsoft-com:office:smarttags" w:element="City">
          <w:r w:rsidRPr="0064311D">
            <w:rPr>
              <w:szCs w:val="24"/>
            </w:rPr>
            <w:t>San Francisco</w:t>
          </w:r>
        </w:smartTag>
        <w:r w:rsidRPr="0064311D">
          <w:rPr>
            <w:szCs w:val="24"/>
          </w:rPr>
          <w:t xml:space="preserve">, </w:t>
        </w:r>
        <w:smartTag w:uri="urn:schemas-microsoft-com:office:smarttags" w:element="State">
          <w:r w:rsidRPr="0064311D">
            <w:rPr>
              <w:szCs w:val="24"/>
            </w:rPr>
            <w:t>CA</w:t>
          </w:r>
        </w:smartTag>
        <w:r w:rsidRPr="0064311D">
          <w:rPr>
            <w:szCs w:val="24"/>
          </w:rPr>
          <w:t xml:space="preserve">  </w:t>
        </w:r>
        <w:smartTag w:uri="urn:schemas-microsoft-com:office:smarttags" w:element="PostalCode">
          <w:r w:rsidRPr="0064311D">
            <w:rPr>
              <w:szCs w:val="24"/>
            </w:rPr>
            <w:t>94108</w:t>
          </w:r>
        </w:smartTag>
      </w:smartTag>
    </w:p>
    <w:p w:rsidR="008758A8" w:rsidRPr="0064311D" w:rsidRDefault="008758A8" w:rsidP="00990EBA">
      <w:pPr>
        <w:jc w:val="center"/>
        <w:rPr>
          <w:szCs w:val="24"/>
        </w:rPr>
      </w:pPr>
      <w:r w:rsidRPr="0064311D">
        <w:rPr>
          <w:szCs w:val="24"/>
        </w:rPr>
        <w:t>(415) 788-6426</w:t>
      </w:r>
    </w:p>
    <w:p w:rsidR="00824213" w:rsidRPr="0064311D" w:rsidRDefault="00824213" w:rsidP="00990EBA">
      <w:pPr>
        <w:numPr>
          <w:ilvl w:val="0"/>
          <w:numId w:val="3"/>
        </w:numPr>
        <w:jc w:val="both"/>
        <w:rPr>
          <w:b/>
          <w:bCs/>
          <w:szCs w:val="24"/>
        </w:rPr>
      </w:pPr>
      <w:r w:rsidRPr="0064311D">
        <w:rPr>
          <w:szCs w:val="24"/>
        </w:rPr>
        <w:br w:type="page"/>
      </w:r>
      <w:r w:rsidR="00204D95" w:rsidRPr="0064311D">
        <w:rPr>
          <w:b/>
          <w:bCs/>
          <w:szCs w:val="24"/>
        </w:rPr>
        <w:lastRenderedPageBreak/>
        <w:t>INTRODUCTION</w:t>
      </w:r>
    </w:p>
    <w:p w:rsidR="0027420C" w:rsidRDefault="0027420C" w:rsidP="00990EBA">
      <w:pPr>
        <w:jc w:val="both"/>
        <w:rPr>
          <w:szCs w:val="24"/>
        </w:rPr>
      </w:pPr>
    </w:p>
    <w:p w:rsidR="006B1215" w:rsidRPr="0064311D" w:rsidRDefault="006B1215" w:rsidP="00990EBA">
      <w:pPr>
        <w:jc w:val="both"/>
        <w:rPr>
          <w:szCs w:val="24"/>
        </w:rPr>
      </w:pPr>
    </w:p>
    <w:p w:rsidR="00CC2554" w:rsidRDefault="00CC2554" w:rsidP="00990EBA">
      <w:pPr>
        <w:jc w:val="both"/>
        <w:rPr>
          <w:b/>
          <w:bCs/>
          <w:szCs w:val="24"/>
        </w:rPr>
      </w:pPr>
      <w:r w:rsidRPr="0064311D">
        <w:rPr>
          <w:b/>
          <w:bCs/>
          <w:szCs w:val="24"/>
        </w:rPr>
        <w:t>Overview</w:t>
      </w:r>
    </w:p>
    <w:p w:rsidR="006B1215" w:rsidRPr="0064311D" w:rsidRDefault="006B1215" w:rsidP="00990EBA">
      <w:pPr>
        <w:jc w:val="both"/>
        <w:rPr>
          <w:b/>
          <w:bCs/>
          <w:szCs w:val="24"/>
        </w:rPr>
      </w:pPr>
    </w:p>
    <w:p w:rsidR="00AF5E1C" w:rsidRPr="0064311D" w:rsidRDefault="00AF5E1C" w:rsidP="00990EBA">
      <w:pPr>
        <w:jc w:val="both"/>
        <w:rPr>
          <w:szCs w:val="24"/>
        </w:rPr>
      </w:pPr>
      <w:smartTag w:uri="urn:schemas-microsoft-com:office:smarttags" w:element="State">
        <w:r w:rsidRPr="0064311D">
          <w:rPr>
            <w:szCs w:val="24"/>
          </w:rPr>
          <w:t>California</w:t>
        </w:r>
      </w:smartTag>
      <w:r w:rsidRPr="0064311D">
        <w:rPr>
          <w:szCs w:val="24"/>
        </w:rPr>
        <w:t xml:space="preserve"> is one of the most linguistically diverse states in the </w:t>
      </w:r>
      <w:smartTag w:uri="urn:schemas-microsoft-com:office:smarttags" w:element="country-region">
        <w:smartTag w:uri="urn:schemas-microsoft-com:office:smarttags" w:element="place">
          <w:r w:rsidRPr="0064311D">
            <w:rPr>
              <w:szCs w:val="24"/>
            </w:rPr>
            <w:t>U.S.</w:t>
          </w:r>
        </w:smartTag>
      </w:smartTag>
      <w:r w:rsidRPr="0064311D">
        <w:rPr>
          <w:szCs w:val="24"/>
        </w:rPr>
        <w:t xml:space="preserve">, and is home to </w:t>
      </w:r>
      <w:r w:rsidR="007D37EE" w:rsidRPr="0064311D">
        <w:rPr>
          <w:szCs w:val="24"/>
        </w:rPr>
        <w:t xml:space="preserve">a multicultural population that speaks </w:t>
      </w:r>
      <w:r w:rsidRPr="0064311D">
        <w:rPr>
          <w:szCs w:val="24"/>
        </w:rPr>
        <w:t xml:space="preserve">more than 70 indigenous languages derived from 64 root languages in </w:t>
      </w:r>
      <w:r w:rsidR="00134F82" w:rsidRPr="0064311D">
        <w:rPr>
          <w:szCs w:val="24"/>
        </w:rPr>
        <w:t xml:space="preserve">six </w:t>
      </w:r>
      <w:r w:rsidRPr="0064311D">
        <w:rPr>
          <w:szCs w:val="24"/>
        </w:rPr>
        <w:t xml:space="preserve">language families.  The purpose of this report is to assess the prevalence of residents in the 58 counties of </w:t>
      </w:r>
      <w:smartTag w:uri="urn:schemas-microsoft-com:office:smarttags" w:element="State">
        <w:smartTag w:uri="urn:schemas-microsoft-com:office:smarttags" w:element="place">
          <w:r w:rsidRPr="0064311D">
            <w:rPr>
              <w:szCs w:val="24"/>
            </w:rPr>
            <w:t>California</w:t>
          </w:r>
        </w:smartTag>
      </w:smartTag>
      <w:r w:rsidRPr="0064311D">
        <w:rPr>
          <w:szCs w:val="24"/>
        </w:rPr>
        <w:t xml:space="preserve"> w</w:t>
      </w:r>
      <w:r w:rsidR="00310697" w:rsidRPr="0064311D">
        <w:rPr>
          <w:szCs w:val="24"/>
        </w:rPr>
        <w:t>ho possess</w:t>
      </w:r>
      <w:r w:rsidRPr="0064311D">
        <w:rPr>
          <w:szCs w:val="24"/>
        </w:rPr>
        <w:t xml:space="preserve"> limited English language skills and to </w:t>
      </w:r>
      <w:r w:rsidR="007D37EE" w:rsidRPr="0064311D">
        <w:rPr>
          <w:szCs w:val="24"/>
        </w:rPr>
        <w:t>offer</w:t>
      </w:r>
      <w:r w:rsidRPr="0064311D">
        <w:rPr>
          <w:szCs w:val="24"/>
        </w:rPr>
        <w:t xml:space="preserve"> recommendations to address their needs.</w:t>
      </w:r>
    </w:p>
    <w:p w:rsidR="00AF5E1C" w:rsidRPr="0064311D" w:rsidRDefault="00AF5E1C" w:rsidP="00990EBA">
      <w:pPr>
        <w:jc w:val="both"/>
      </w:pPr>
    </w:p>
    <w:p w:rsidR="00CC2554" w:rsidRDefault="00CC2554" w:rsidP="00990EBA">
      <w:pPr>
        <w:jc w:val="both"/>
        <w:rPr>
          <w:b/>
          <w:bCs/>
        </w:rPr>
      </w:pPr>
      <w:r w:rsidRPr="0064311D">
        <w:rPr>
          <w:b/>
          <w:bCs/>
        </w:rPr>
        <w:t>Languages Spoken at Home</w:t>
      </w:r>
    </w:p>
    <w:p w:rsidR="006B1215" w:rsidRPr="0064311D" w:rsidRDefault="006B1215" w:rsidP="00990EBA">
      <w:pPr>
        <w:jc w:val="both"/>
        <w:rPr>
          <w:b/>
          <w:bCs/>
        </w:rPr>
      </w:pPr>
    </w:p>
    <w:p w:rsidR="00B27437" w:rsidRPr="00E87145" w:rsidRDefault="0063099B" w:rsidP="00B27437">
      <w:r w:rsidRPr="00E87145">
        <w:t xml:space="preserve">The </w:t>
      </w:r>
      <w:r w:rsidR="00204D95" w:rsidRPr="00E87145">
        <w:t>2006-2010 American Community Survey (ACS</w:t>
      </w:r>
      <w:r w:rsidRPr="00E87145">
        <w:t xml:space="preserve">) </w:t>
      </w:r>
      <w:r w:rsidR="006F3194" w:rsidRPr="00E87145">
        <w:t>5</w:t>
      </w:r>
      <w:r w:rsidR="00204D95" w:rsidRPr="00E87145">
        <w:t xml:space="preserve">-Year </w:t>
      </w:r>
      <w:r w:rsidR="00194CEC" w:rsidRPr="00E87145">
        <w:t xml:space="preserve">estimates </w:t>
      </w:r>
      <w:r w:rsidR="00204D95" w:rsidRPr="00E87145">
        <w:t>indicate</w:t>
      </w:r>
      <w:r w:rsidR="00647E33" w:rsidRPr="00E87145">
        <w:t>s</w:t>
      </w:r>
      <w:r w:rsidR="00204D95" w:rsidRPr="00E87145">
        <w:t xml:space="preserve"> </w:t>
      </w:r>
      <w:r w:rsidR="00647E33" w:rsidRPr="00E87145">
        <w:t>that more than half (</w:t>
      </w:r>
      <w:r w:rsidR="00204D95" w:rsidRPr="00E87145">
        <w:t>57</w:t>
      </w:r>
      <w:r w:rsidRPr="00E87145">
        <w:t>%</w:t>
      </w:r>
      <w:r w:rsidR="00647E33" w:rsidRPr="00E87145">
        <w:t>)</w:t>
      </w:r>
      <w:r w:rsidRPr="00E87145">
        <w:t xml:space="preserve"> of </w:t>
      </w:r>
      <w:smartTag w:uri="urn:schemas-microsoft-com:office:smarttags" w:element="State">
        <w:smartTag w:uri="urn:schemas-microsoft-com:office:smarttags" w:element="place">
          <w:r w:rsidRPr="00E87145">
            <w:t>California</w:t>
          </w:r>
        </w:smartTag>
      </w:smartTag>
      <w:r w:rsidRPr="00E87145">
        <w:t xml:space="preserve"> residents age five and older </w:t>
      </w:r>
      <w:r w:rsidR="00F90460" w:rsidRPr="00E87145">
        <w:t>sp</w:t>
      </w:r>
      <w:r w:rsidR="00310697" w:rsidRPr="00E87145">
        <w:t>eak</w:t>
      </w:r>
      <w:r w:rsidR="00F90460" w:rsidRPr="00E87145">
        <w:t xml:space="preserve"> </w:t>
      </w:r>
      <w:hyperlink r:id="rId7" w:tooltip="English language" w:history="1">
        <w:r w:rsidR="00F90460" w:rsidRPr="00E87145">
          <w:rPr>
            <w:rStyle w:val="Hyperlink"/>
            <w:color w:val="auto"/>
            <w:u w:val="none"/>
          </w:rPr>
          <w:t>English</w:t>
        </w:r>
      </w:hyperlink>
      <w:r w:rsidR="00F90460" w:rsidRPr="00E87145">
        <w:t xml:space="preserve"> as a </w:t>
      </w:r>
      <w:hyperlink r:id="rId8" w:tooltip="First language" w:history="1">
        <w:r w:rsidR="00F90460" w:rsidRPr="00E87145">
          <w:rPr>
            <w:rStyle w:val="Hyperlink"/>
            <w:color w:val="auto"/>
            <w:u w:val="none"/>
          </w:rPr>
          <w:t>first language</w:t>
        </w:r>
      </w:hyperlink>
      <w:r w:rsidR="00204D95" w:rsidRPr="00E87145">
        <w:t xml:space="preserve"> at home</w:t>
      </w:r>
      <w:r w:rsidR="00B27437" w:rsidRPr="00E87145">
        <w:t xml:space="preserve">.  Of those who speak a language other than English at home, Spanish is the most prevalent (66%), followed by 22% who speak an Asian or Pacific Islander language, 10% who speak </w:t>
      </w:r>
      <w:r w:rsidR="001451EC" w:rsidRPr="00E87145">
        <w:t>an</w:t>
      </w:r>
      <w:r w:rsidR="00B27437" w:rsidRPr="00E87145">
        <w:t xml:space="preserve"> Indo-European language</w:t>
      </w:r>
      <w:r w:rsidR="001451EC" w:rsidRPr="00E87145">
        <w:t xml:space="preserve"> other than Spanish</w:t>
      </w:r>
      <w:r w:rsidR="00B5281C" w:rsidRPr="00E87145">
        <w:t>,</w:t>
      </w:r>
      <w:r w:rsidR="00B27437" w:rsidRPr="00E87145">
        <w:t xml:space="preserve"> and 2% who speak </w:t>
      </w:r>
      <w:r w:rsidR="0053777E" w:rsidRPr="00E87145">
        <w:t xml:space="preserve">another </w:t>
      </w:r>
      <w:r w:rsidR="00B27437" w:rsidRPr="00E87145">
        <w:t>language.</w:t>
      </w:r>
    </w:p>
    <w:p w:rsidR="006B1215" w:rsidRDefault="006B1215" w:rsidP="005A0DA2">
      <w:pPr>
        <w:jc w:val="both"/>
        <w:rPr>
          <w:highlight w:val="yellow"/>
        </w:rPr>
      </w:pPr>
    </w:p>
    <w:p w:rsidR="005A0DA2" w:rsidRPr="001266C5" w:rsidRDefault="002007DC" w:rsidP="005A0DA2">
      <w:pPr>
        <w:jc w:val="both"/>
        <w:rPr>
          <w:highlight w:val="yellow"/>
        </w:rPr>
      </w:pPr>
      <w:r>
        <w:rPr>
          <w:noProof/>
        </w:rPr>
        <w:drawing>
          <wp:inline distT="0" distB="0" distL="0" distR="0">
            <wp:extent cx="5476875" cy="2131261"/>
            <wp:effectExtent l="0" t="0" r="0" b="2339"/>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215" w:rsidRPr="001151B7" w:rsidRDefault="006B1215" w:rsidP="00990EBA">
      <w:pPr>
        <w:jc w:val="both"/>
      </w:pPr>
    </w:p>
    <w:p w:rsidR="0053777E" w:rsidRPr="001151B7" w:rsidRDefault="0053777E" w:rsidP="00990EBA">
      <w:pPr>
        <w:jc w:val="both"/>
        <w:rPr>
          <w:szCs w:val="24"/>
        </w:rPr>
      </w:pPr>
    </w:p>
    <w:p w:rsidR="0053777E" w:rsidRDefault="0053777E" w:rsidP="00990EBA">
      <w:pPr>
        <w:jc w:val="both"/>
        <w:rPr>
          <w:szCs w:val="24"/>
        </w:rPr>
      </w:pPr>
      <w:r w:rsidRPr="001151B7">
        <w:rPr>
          <w:szCs w:val="24"/>
        </w:rPr>
        <w:t>Examples</w:t>
      </w:r>
      <w:r w:rsidR="001151B7">
        <w:rPr>
          <w:szCs w:val="24"/>
        </w:rPr>
        <w:t xml:space="preserve"> </w:t>
      </w:r>
      <w:r w:rsidRPr="001151B7">
        <w:rPr>
          <w:szCs w:val="24"/>
        </w:rPr>
        <w:t xml:space="preserve">of </w:t>
      </w:r>
      <w:r w:rsidR="00565646" w:rsidRPr="001151B7">
        <w:rPr>
          <w:szCs w:val="24"/>
        </w:rPr>
        <w:t xml:space="preserve">some </w:t>
      </w:r>
      <w:r w:rsidRPr="001151B7">
        <w:rPr>
          <w:b/>
          <w:bCs/>
          <w:szCs w:val="24"/>
        </w:rPr>
        <w:t>Asian and Pacific Islander Languages</w:t>
      </w:r>
      <w:r w:rsidRPr="001151B7">
        <w:rPr>
          <w:szCs w:val="24"/>
        </w:rPr>
        <w:t xml:space="preserve"> </w:t>
      </w:r>
      <w:r w:rsidR="00B5281C" w:rsidRPr="001151B7">
        <w:rPr>
          <w:szCs w:val="24"/>
        </w:rPr>
        <w:t xml:space="preserve">(in order of prevalence) </w:t>
      </w:r>
      <w:r w:rsidR="001151B7">
        <w:rPr>
          <w:szCs w:val="24"/>
        </w:rPr>
        <w:t>include Chinese, Tagalog</w:t>
      </w:r>
      <w:r w:rsidRPr="001151B7">
        <w:rPr>
          <w:szCs w:val="24"/>
        </w:rPr>
        <w:t xml:space="preserve">, </w:t>
      </w:r>
      <w:r w:rsidR="00565646" w:rsidRPr="001151B7">
        <w:rPr>
          <w:szCs w:val="24"/>
        </w:rPr>
        <w:t>Vietnames</w:t>
      </w:r>
      <w:r w:rsidR="001151B7">
        <w:rPr>
          <w:szCs w:val="24"/>
        </w:rPr>
        <w:t>e</w:t>
      </w:r>
      <w:r w:rsidRPr="001151B7">
        <w:rPr>
          <w:szCs w:val="24"/>
        </w:rPr>
        <w:t>,</w:t>
      </w:r>
      <w:r w:rsidR="001151B7">
        <w:rPr>
          <w:szCs w:val="24"/>
        </w:rPr>
        <w:t xml:space="preserve"> Korean, Japanese, Mon-Khmer/Cambodian, Hmong, Thai, and Laotian</w:t>
      </w:r>
      <w:r w:rsidR="00565646" w:rsidRPr="001151B7">
        <w:rPr>
          <w:szCs w:val="24"/>
        </w:rPr>
        <w:t xml:space="preserve">.  Examples of some of the </w:t>
      </w:r>
      <w:r w:rsidR="009A6B98" w:rsidRPr="001151B7">
        <w:rPr>
          <w:b/>
          <w:bCs/>
          <w:szCs w:val="24"/>
        </w:rPr>
        <w:t>O</w:t>
      </w:r>
      <w:r w:rsidRPr="001151B7">
        <w:rPr>
          <w:b/>
          <w:bCs/>
          <w:szCs w:val="24"/>
        </w:rPr>
        <w:t>ther Indo-European Languages</w:t>
      </w:r>
      <w:r w:rsidR="00565646" w:rsidRPr="001151B7">
        <w:rPr>
          <w:szCs w:val="24"/>
        </w:rPr>
        <w:t xml:space="preserve"> </w:t>
      </w:r>
      <w:r w:rsidR="001151B7">
        <w:rPr>
          <w:szCs w:val="24"/>
        </w:rPr>
        <w:t>(in order of prevalence) include Armenian, Persian, Russian, Hindi, French</w:t>
      </w:r>
      <w:r w:rsidR="00565646" w:rsidRPr="001151B7">
        <w:rPr>
          <w:szCs w:val="24"/>
        </w:rPr>
        <w:t>, G</w:t>
      </w:r>
      <w:r w:rsidR="001151B7">
        <w:rPr>
          <w:szCs w:val="24"/>
        </w:rPr>
        <w:t>erman</w:t>
      </w:r>
      <w:r w:rsidR="00565646" w:rsidRPr="001151B7">
        <w:rPr>
          <w:szCs w:val="24"/>
        </w:rPr>
        <w:t xml:space="preserve">, </w:t>
      </w:r>
      <w:r w:rsidR="009A6B98" w:rsidRPr="001151B7">
        <w:rPr>
          <w:szCs w:val="24"/>
        </w:rPr>
        <w:t>Por</w:t>
      </w:r>
      <w:r w:rsidR="001151B7">
        <w:rPr>
          <w:szCs w:val="24"/>
        </w:rPr>
        <w:t>tuguese/Portuguese Creole, and Italian</w:t>
      </w:r>
      <w:r w:rsidR="009A6B98" w:rsidRPr="001151B7">
        <w:rPr>
          <w:szCs w:val="24"/>
        </w:rPr>
        <w:t>.  Finally, examples of some of the</w:t>
      </w:r>
      <w:r w:rsidRPr="001151B7">
        <w:rPr>
          <w:szCs w:val="24"/>
        </w:rPr>
        <w:t xml:space="preserve"> </w:t>
      </w:r>
      <w:r w:rsidRPr="001151B7">
        <w:rPr>
          <w:b/>
          <w:bCs/>
          <w:szCs w:val="24"/>
        </w:rPr>
        <w:t>Other Languages</w:t>
      </w:r>
      <w:r w:rsidRPr="001151B7">
        <w:rPr>
          <w:szCs w:val="24"/>
        </w:rPr>
        <w:t xml:space="preserve"> </w:t>
      </w:r>
      <w:r w:rsidR="001151B7">
        <w:rPr>
          <w:szCs w:val="24"/>
        </w:rPr>
        <w:t>(in order of prevalence) include Arabic, African Languages, Hebrew, and Hungarian</w:t>
      </w:r>
      <w:r w:rsidR="008779D2" w:rsidRPr="001151B7">
        <w:rPr>
          <w:szCs w:val="24"/>
        </w:rPr>
        <w:t>.</w:t>
      </w:r>
    </w:p>
    <w:p w:rsidR="0053777E" w:rsidRDefault="0053777E" w:rsidP="00990EBA">
      <w:pPr>
        <w:jc w:val="both"/>
        <w:rPr>
          <w:szCs w:val="24"/>
        </w:rPr>
      </w:pPr>
    </w:p>
    <w:p w:rsidR="0053777E" w:rsidRPr="0064311D" w:rsidRDefault="0053777E" w:rsidP="00990EBA">
      <w:pPr>
        <w:jc w:val="both"/>
        <w:rPr>
          <w:szCs w:val="24"/>
        </w:rPr>
      </w:pPr>
    </w:p>
    <w:p w:rsidR="004C1B19" w:rsidRDefault="004C1B19" w:rsidP="00990EBA">
      <w:pPr>
        <w:jc w:val="both"/>
        <w:rPr>
          <w:b/>
          <w:bCs/>
          <w:szCs w:val="24"/>
        </w:rPr>
      </w:pPr>
      <w:r w:rsidRPr="0064311D">
        <w:rPr>
          <w:b/>
          <w:bCs/>
          <w:szCs w:val="24"/>
        </w:rPr>
        <w:lastRenderedPageBreak/>
        <w:t xml:space="preserve">The Foreign-Born and English </w:t>
      </w:r>
      <w:r w:rsidR="00240194">
        <w:rPr>
          <w:b/>
          <w:bCs/>
          <w:szCs w:val="24"/>
        </w:rPr>
        <w:t xml:space="preserve">Proficiency </w:t>
      </w:r>
    </w:p>
    <w:p w:rsidR="006B1215" w:rsidRPr="0064311D" w:rsidRDefault="006B1215" w:rsidP="00990EBA">
      <w:pPr>
        <w:jc w:val="both"/>
        <w:rPr>
          <w:b/>
          <w:bCs/>
          <w:szCs w:val="24"/>
        </w:rPr>
      </w:pPr>
    </w:p>
    <w:p w:rsidR="006B1215" w:rsidRDefault="00532AD2" w:rsidP="00990EBA">
      <w:pPr>
        <w:jc w:val="both"/>
        <w:rPr>
          <w:szCs w:val="24"/>
        </w:rPr>
      </w:pPr>
      <w:r>
        <w:rPr>
          <w:szCs w:val="24"/>
        </w:rPr>
        <w:t>A</w:t>
      </w:r>
      <w:r w:rsidR="0013347C" w:rsidRPr="0064311D">
        <w:rPr>
          <w:szCs w:val="24"/>
        </w:rPr>
        <w:t xml:space="preserve"> significant portion of Californians who are foreign-born report not speaking English well. For example, in 2009 </w:t>
      </w:r>
      <w:r w:rsidR="00647E33" w:rsidRPr="0064311D">
        <w:rPr>
          <w:szCs w:val="24"/>
        </w:rPr>
        <w:t>the majority (</w:t>
      </w:r>
      <w:r w:rsidR="0013347C" w:rsidRPr="0064311D">
        <w:rPr>
          <w:szCs w:val="24"/>
        </w:rPr>
        <w:t>5</w:t>
      </w:r>
      <w:r w:rsidR="009D4136">
        <w:rPr>
          <w:szCs w:val="24"/>
        </w:rPr>
        <w:t>9</w:t>
      </w:r>
      <w:r w:rsidR="00647E33" w:rsidRPr="0064311D">
        <w:rPr>
          <w:szCs w:val="24"/>
        </w:rPr>
        <w:t>%)</w:t>
      </w:r>
      <w:r w:rsidR="0013347C" w:rsidRPr="0064311D">
        <w:rPr>
          <w:szCs w:val="24"/>
        </w:rPr>
        <w:t xml:space="preserve"> of </w:t>
      </w:r>
      <w:smartTag w:uri="urn:schemas-microsoft-com:office:smarttags" w:element="place">
        <w:smartTag w:uri="urn:schemas-microsoft-com:office:smarttags" w:element="State">
          <w:r w:rsidR="0013347C" w:rsidRPr="0064311D">
            <w:rPr>
              <w:szCs w:val="24"/>
            </w:rPr>
            <w:t>California</w:t>
          </w:r>
        </w:smartTag>
      </w:smartTag>
      <w:r w:rsidR="0013347C" w:rsidRPr="0064311D">
        <w:rPr>
          <w:szCs w:val="24"/>
        </w:rPr>
        <w:t xml:space="preserve">'s total foreign-born population age </w:t>
      </w:r>
      <w:r>
        <w:rPr>
          <w:szCs w:val="24"/>
        </w:rPr>
        <w:t>five</w:t>
      </w:r>
      <w:r w:rsidRPr="0064311D">
        <w:rPr>
          <w:szCs w:val="24"/>
        </w:rPr>
        <w:t xml:space="preserve"> </w:t>
      </w:r>
      <w:r w:rsidR="0013347C" w:rsidRPr="0064311D">
        <w:rPr>
          <w:szCs w:val="24"/>
        </w:rPr>
        <w:t>and older were considered limited English p</w:t>
      </w:r>
      <w:r w:rsidR="008526BF" w:rsidRPr="0064311D">
        <w:rPr>
          <w:szCs w:val="24"/>
        </w:rPr>
        <w:t>roficient (LEP), com</w:t>
      </w:r>
      <w:r w:rsidR="0013347C" w:rsidRPr="0064311D">
        <w:rPr>
          <w:szCs w:val="24"/>
        </w:rPr>
        <w:t xml:space="preserve">pared to only 4 </w:t>
      </w:r>
      <w:r w:rsidR="00240194">
        <w:rPr>
          <w:szCs w:val="24"/>
        </w:rPr>
        <w:t>%</w:t>
      </w:r>
      <w:r w:rsidR="0013347C" w:rsidRPr="0064311D">
        <w:rPr>
          <w:szCs w:val="24"/>
        </w:rPr>
        <w:t xml:space="preserve">of similarly aged native-born persons. </w:t>
      </w:r>
    </w:p>
    <w:p w:rsidR="00EB017A" w:rsidRDefault="00EB017A" w:rsidP="00990EBA">
      <w:pPr>
        <w:jc w:val="both"/>
        <w:rPr>
          <w:szCs w:val="24"/>
        </w:rPr>
      </w:pPr>
    </w:p>
    <w:p w:rsidR="00EB017A" w:rsidRDefault="00EB017A" w:rsidP="00990EBA">
      <w:pPr>
        <w:jc w:val="both"/>
        <w:rPr>
          <w:szCs w:val="24"/>
        </w:rPr>
      </w:pPr>
    </w:p>
    <w:p w:rsidR="00EB017A" w:rsidRDefault="002007DC" w:rsidP="00EB017A">
      <w:pPr>
        <w:jc w:val="center"/>
        <w:rPr>
          <w:szCs w:val="24"/>
        </w:rPr>
      </w:pPr>
      <w:r>
        <w:rPr>
          <w:noProof/>
        </w:rPr>
        <w:drawing>
          <wp:inline distT="0" distB="0" distL="0" distR="0">
            <wp:extent cx="2552700" cy="2305050"/>
            <wp:effectExtent l="1905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0" cstate="print"/>
                    <a:srcRect/>
                    <a:stretch>
                      <a:fillRect/>
                    </a:stretch>
                  </pic:blipFill>
                  <pic:spPr bwMode="auto">
                    <a:xfrm>
                      <a:off x="0" y="0"/>
                      <a:ext cx="2552700" cy="2305050"/>
                    </a:xfrm>
                    <a:prstGeom prst="rect">
                      <a:avLst/>
                    </a:prstGeom>
                    <a:noFill/>
                    <a:ln w="9525">
                      <a:noFill/>
                      <a:miter lim="800000"/>
                      <a:headEnd/>
                      <a:tailEnd/>
                    </a:ln>
                  </pic:spPr>
                </pic:pic>
              </a:graphicData>
            </a:graphic>
          </wp:inline>
        </w:drawing>
      </w:r>
      <w:r>
        <w:rPr>
          <w:noProof/>
        </w:rPr>
        <w:drawing>
          <wp:inline distT="0" distB="0" distL="0" distR="0">
            <wp:extent cx="2686050" cy="2314575"/>
            <wp:effectExtent l="19050" t="0" r="0" b="0"/>
            <wp:docPr id="3"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1" cstate="print"/>
                    <a:srcRect/>
                    <a:stretch>
                      <a:fillRect/>
                    </a:stretch>
                  </pic:blipFill>
                  <pic:spPr bwMode="auto">
                    <a:xfrm>
                      <a:off x="0" y="0"/>
                      <a:ext cx="2686050" cy="2314575"/>
                    </a:xfrm>
                    <a:prstGeom prst="rect">
                      <a:avLst/>
                    </a:prstGeom>
                    <a:noFill/>
                    <a:ln w="9525">
                      <a:noFill/>
                      <a:miter lim="800000"/>
                      <a:headEnd/>
                      <a:tailEnd/>
                    </a:ln>
                  </pic:spPr>
                </pic:pic>
              </a:graphicData>
            </a:graphic>
          </wp:inline>
        </w:drawing>
      </w:r>
    </w:p>
    <w:p w:rsidR="00EB017A" w:rsidRDefault="00EB017A" w:rsidP="00990EBA">
      <w:pPr>
        <w:jc w:val="both"/>
        <w:rPr>
          <w:szCs w:val="24"/>
        </w:rPr>
      </w:pPr>
    </w:p>
    <w:p w:rsidR="006B1215" w:rsidRDefault="006B1215" w:rsidP="00990EBA">
      <w:pPr>
        <w:jc w:val="both"/>
        <w:rPr>
          <w:szCs w:val="24"/>
        </w:rPr>
      </w:pPr>
    </w:p>
    <w:p w:rsidR="004C1B19" w:rsidRDefault="004C1B19" w:rsidP="00990EBA">
      <w:pPr>
        <w:jc w:val="both"/>
        <w:rPr>
          <w:b/>
          <w:bCs/>
        </w:rPr>
      </w:pPr>
      <w:r w:rsidRPr="0064311D">
        <w:rPr>
          <w:b/>
          <w:bCs/>
        </w:rPr>
        <w:t>Implications</w:t>
      </w:r>
    </w:p>
    <w:p w:rsidR="006B1215" w:rsidRPr="0064311D" w:rsidRDefault="006B1215" w:rsidP="00990EBA">
      <w:pPr>
        <w:jc w:val="both"/>
        <w:rPr>
          <w:b/>
          <w:bCs/>
        </w:rPr>
      </w:pPr>
    </w:p>
    <w:p w:rsidR="006B1215" w:rsidRPr="0064311D" w:rsidRDefault="00072FF8" w:rsidP="006B1215">
      <w:pPr>
        <w:jc w:val="both"/>
        <w:rPr>
          <w:lang w:bidi="pa-IN"/>
        </w:rPr>
      </w:pPr>
      <w:r w:rsidRPr="0064311D">
        <w:t xml:space="preserve">The implications of this are great.  </w:t>
      </w:r>
      <w:r w:rsidR="006B1215">
        <w:rPr>
          <w:lang w:bidi="pa-IN"/>
        </w:rPr>
        <w:t>A</w:t>
      </w:r>
      <w:r w:rsidR="006B1215" w:rsidRPr="0064311D">
        <w:rPr>
          <w:lang w:bidi="pa-IN"/>
        </w:rPr>
        <w:t xml:space="preserve">ccording to the California Pan-Ethnic Health Network’s </w:t>
      </w:r>
      <w:r w:rsidR="006B1215" w:rsidRPr="0064311D">
        <w:rPr>
          <w:i/>
          <w:iCs/>
          <w:lang w:bidi="pa-IN"/>
        </w:rPr>
        <w:t>Achieving Equity by Building a Bridge from Eligible to Enrolled</w:t>
      </w:r>
      <w:r w:rsidR="006B1215" w:rsidRPr="0064311D">
        <w:rPr>
          <w:lang w:bidi="pa-IN"/>
        </w:rPr>
        <w:t xml:space="preserve"> report, “The LEP population represents a considerable portion of those eligible for coverage under the [the Affordable Care Act], through either Medi-Cal or tax credits to purchase insurance through California’s new Health Benefit Exchange; however, language barriers may result in a difference of 110,000 fewer LEP individuals enrolled in the Exchange.”</w:t>
      </w:r>
    </w:p>
    <w:p w:rsidR="00E452F9" w:rsidRDefault="00E452F9" w:rsidP="001266C5"/>
    <w:p w:rsidR="006B1215" w:rsidRPr="00EE6F8D" w:rsidRDefault="001266C5" w:rsidP="001266C5">
      <w:pPr>
        <w:jc w:val="both"/>
        <w:rPr>
          <w:lang w:bidi="pa-IN"/>
        </w:rPr>
      </w:pPr>
      <w:r w:rsidRPr="00EE6F8D">
        <w:t>California Health Interview Survey discovered that over</w:t>
      </w:r>
      <w:r w:rsidR="004E5F7F" w:rsidRPr="00EE6F8D">
        <w:t xml:space="preserve"> 50% of Californians who do not </w:t>
      </w:r>
      <w:r w:rsidRPr="00EE6F8D">
        <w:t xml:space="preserve">speak English well or at all were uninsured for all or part of 2005, compared to 23.8% of those who speak English very well.  </w:t>
      </w:r>
      <w:r w:rsidR="00E452F9" w:rsidRPr="00EE6F8D">
        <w:rPr>
          <w:lang w:bidi="pa-IN"/>
        </w:rPr>
        <w:t xml:space="preserve">In addition, </w:t>
      </w:r>
      <w:r w:rsidR="006B1215" w:rsidRPr="00EE6F8D">
        <w:t xml:space="preserve">the Asian American Center for Advancing Justice’s </w:t>
      </w:r>
      <w:r w:rsidR="006B1215" w:rsidRPr="00EE6F8D">
        <w:rPr>
          <w:i/>
          <w:iCs/>
        </w:rPr>
        <w:t>A Community of Contrasts</w:t>
      </w:r>
      <w:r w:rsidR="006B1215" w:rsidRPr="00EE6F8D">
        <w:t xml:space="preserve"> report stated</w:t>
      </w:r>
      <w:r w:rsidR="00240194" w:rsidRPr="00EE6F8D">
        <w:t xml:space="preserve"> that</w:t>
      </w:r>
      <w:r w:rsidR="006B1215" w:rsidRPr="00EE6F8D">
        <w:t>, “Coupled with a lack of</w:t>
      </w:r>
      <w:r w:rsidR="006B1215" w:rsidRPr="0064311D">
        <w:t xml:space="preserve"> </w:t>
      </w:r>
      <w:r w:rsidR="006B1215" w:rsidRPr="00EE6F8D">
        <w:t>available English classes, language is a formidable barrier impacting access to a range of vital services, such as healthcare, social services, housing, courts, and education</w:t>
      </w:r>
      <w:r w:rsidR="006B1215" w:rsidRPr="00EE6F8D">
        <w:rPr>
          <w:lang w:bidi="pa-IN"/>
        </w:rPr>
        <w:t>.”</w:t>
      </w:r>
    </w:p>
    <w:p w:rsidR="00A54172" w:rsidRPr="00A07F76" w:rsidRDefault="00A54172" w:rsidP="00A07F76"/>
    <w:p w:rsidR="00A07F76" w:rsidRDefault="00A54172" w:rsidP="00A07F76">
      <w:pPr>
        <w:rPr>
          <w:lang w:bidi="pa-IN"/>
        </w:rPr>
      </w:pPr>
      <w:r w:rsidRPr="00A07F76">
        <w:t xml:space="preserve">Title VI of the Civil Rights Act of 1964 mandates that limited English proficient (LEP) individuals have meaningful access to the health services being provided. The Department of Health and Human Service’s Office of Minority Health has issued 14 standards for Culturally and Linguistically Appropriate Services (CLAS) that are required </w:t>
      </w:r>
      <w:r w:rsidRPr="00A07F76">
        <w:lastRenderedPageBreak/>
        <w:t xml:space="preserve">for health organizations that receive federal funding. </w:t>
      </w:r>
      <w:r w:rsidR="00A07F76" w:rsidRPr="00A07F76">
        <w:rPr>
          <w:lang w:bidi="pa-IN"/>
        </w:rPr>
        <w:t>The</w:t>
      </w:r>
      <w:r w:rsidR="00A07F76">
        <w:rPr>
          <w:lang w:bidi="pa-IN"/>
        </w:rPr>
        <w:t>se</w:t>
      </w:r>
      <w:r w:rsidR="00A07F76" w:rsidRPr="00A07F76">
        <w:rPr>
          <w:lang w:bidi="pa-IN"/>
        </w:rPr>
        <w:t xml:space="preserve"> 14 standards are organized by themes: Culturally Competent Care (Standards 1-3), Language Access Services (Standards 4-7), and Organizational Supports for Cultural Competence (Standards 8-14). </w:t>
      </w:r>
    </w:p>
    <w:p w:rsidR="00A07F76" w:rsidRPr="00A07F76" w:rsidRDefault="00A07F76" w:rsidP="00A07F76"/>
    <w:p w:rsidR="00A54172" w:rsidRPr="0035584C" w:rsidRDefault="00A54172" w:rsidP="00A07F76">
      <w:pPr>
        <w:rPr>
          <w:szCs w:val="24"/>
        </w:rPr>
      </w:pPr>
      <w:r w:rsidRPr="00A07F76">
        <w:t xml:space="preserve">There are also </w:t>
      </w:r>
      <w:smartTag w:uri="urn:schemas-microsoft-com:office:smarttags" w:element="place">
        <w:smartTag w:uri="urn:schemas-microsoft-com:office:smarttags" w:element="State">
          <w:r w:rsidRPr="00A07F76">
            <w:t>California</w:t>
          </w:r>
        </w:smartTag>
      </w:smartTag>
      <w:r w:rsidRPr="00A07F76">
        <w:t xml:space="preserve"> laws that require that language services are accessible.  The Dymally-Alatorre Bilingual Services Act (1973:CA Government Code 7290, 7299)</w:t>
      </w:r>
      <w:r w:rsidRPr="00EE6F8D">
        <w:rPr>
          <w:szCs w:val="24"/>
        </w:rPr>
        <w:t xml:space="preserve"> requires local governments make their services accessible to LEP individuals and specifically refers to the employment of qualified bilingual persons for public contact positions.  </w:t>
      </w:r>
      <w:smartTag w:uri="urn:schemas-microsoft-com:office:smarttags" w:element="State">
        <w:smartTag w:uri="urn:schemas-microsoft-com:office:smarttags" w:element="place">
          <w:r w:rsidRPr="00EE6F8D">
            <w:rPr>
              <w:szCs w:val="24"/>
            </w:rPr>
            <w:t>California</w:t>
          </w:r>
        </w:smartTag>
      </w:smartTag>
      <w:r w:rsidRPr="00EE6F8D">
        <w:rPr>
          <w:szCs w:val="24"/>
        </w:rPr>
        <w:t xml:space="preserve"> also passed SB 853 (Escutia) requiring Commercial Health Plans and Insurers to provide language services. This includes all health plans regulated by the Department of Managed Health Care (DMHC) and all insurance companies that are regulated by the California Department of Insurance (CDI). It was fully implemented in January 1, 2009.</w:t>
      </w:r>
    </w:p>
    <w:p w:rsidR="00A54172" w:rsidRPr="0064311D" w:rsidRDefault="00A54172" w:rsidP="001266C5">
      <w:pPr>
        <w:jc w:val="both"/>
        <w:rPr>
          <w:lang w:bidi="pa-IN"/>
        </w:rPr>
      </w:pPr>
    </w:p>
    <w:p w:rsidR="00824213" w:rsidRDefault="00824213" w:rsidP="00990EBA">
      <w:pPr>
        <w:jc w:val="both"/>
        <w:rPr>
          <w:szCs w:val="24"/>
        </w:rPr>
      </w:pPr>
    </w:p>
    <w:p w:rsidR="00A07F76" w:rsidRPr="0064311D" w:rsidRDefault="00A07F76" w:rsidP="00990EBA">
      <w:pPr>
        <w:jc w:val="both"/>
        <w:rPr>
          <w:szCs w:val="24"/>
        </w:rPr>
      </w:pPr>
    </w:p>
    <w:p w:rsidR="00D25EBC" w:rsidRPr="0064311D" w:rsidRDefault="00F82888" w:rsidP="00990EBA">
      <w:pPr>
        <w:numPr>
          <w:ilvl w:val="0"/>
          <w:numId w:val="3"/>
        </w:numPr>
        <w:jc w:val="both"/>
        <w:rPr>
          <w:b/>
          <w:bCs/>
          <w:szCs w:val="24"/>
        </w:rPr>
      </w:pPr>
      <w:r w:rsidRPr="0064311D">
        <w:rPr>
          <w:b/>
          <w:bCs/>
          <w:szCs w:val="24"/>
        </w:rPr>
        <w:t>DEFINITIONS</w:t>
      </w:r>
      <w:r w:rsidR="00F95787" w:rsidRPr="0064311D">
        <w:rPr>
          <w:b/>
          <w:bCs/>
          <w:szCs w:val="24"/>
        </w:rPr>
        <w:t xml:space="preserve"> and SOURCE</w:t>
      </w:r>
    </w:p>
    <w:p w:rsidR="00240194" w:rsidRDefault="00240194" w:rsidP="00990EBA">
      <w:pPr>
        <w:jc w:val="both"/>
        <w:rPr>
          <w:szCs w:val="24"/>
        </w:rPr>
      </w:pPr>
    </w:p>
    <w:p w:rsidR="007E5CF3" w:rsidRPr="0064311D" w:rsidRDefault="00211EBE" w:rsidP="00990EBA">
      <w:pPr>
        <w:jc w:val="both"/>
        <w:rPr>
          <w:szCs w:val="24"/>
        </w:rPr>
      </w:pPr>
      <w:r w:rsidRPr="0064311D">
        <w:rPr>
          <w:szCs w:val="24"/>
        </w:rPr>
        <w:t xml:space="preserve">This section defines some of the terms that are commonly used in reference to individuals with limited abilities to communicate in English.  It also describes the data source and rationale for data selection.  </w:t>
      </w:r>
    </w:p>
    <w:p w:rsidR="007E5CF3" w:rsidRPr="0064311D" w:rsidRDefault="007E5CF3" w:rsidP="00990EBA">
      <w:pPr>
        <w:jc w:val="both"/>
        <w:rPr>
          <w:szCs w:val="24"/>
        </w:rPr>
      </w:pPr>
    </w:p>
    <w:p w:rsidR="00B946BC" w:rsidRDefault="00810020" w:rsidP="00990EBA">
      <w:pPr>
        <w:jc w:val="both"/>
        <w:rPr>
          <w:b/>
          <w:bCs/>
          <w:szCs w:val="24"/>
        </w:rPr>
      </w:pPr>
      <w:r w:rsidRPr="0064311D">
        <w:rPr>
          <w:b/>
          <w:bCs/>
          <w:szCs w:val="24"/>
        </w:rPr>
        <w:t>Definitions</w:t>
      </w:r>
    </w:p>
    <w:p w:rsidR="006B1215" w:rsidRPr="0064311D" w:rsidRDefault="006B1215" w:rsidP="00990EBA">
      <w:pPr>
        <w:jc w:val="both"/>
        <w:rPr>
          <w:b/>
          <w:bCs/>
          <w:szCs w:val="24"/>
        </w:rPr>
      </w:pPr>
    </w:p>
    <w:p w:rsidR="0035584C" w:rsidRPr="00EE6F8D" w:rsidRDefault="007E5CF3" w:rsidP="0035584C">
      <w:pPr>
        <w:jc w:val="both"/>
        <w:rPr>
          <w:szCs w:val="24"/>
        </w:rPr>
      </w:pPr>
      <w:r w:rsidRPr="0064311D">
        <w:rPr>
          <w:b/>
          <w:bCs/>
          <w:szCs w:val="24"/>
        </w:rPr>
        <w:t>L</w:t>
      </w:r>
      <w:r w:rsidR="00920BE5" w:rsidRPr="0064311D">
        <w:rPr>
          <w:b/>
          <w:bCs/>
          <w:szCs w:val="24"/>
        </w:rPr>
        <w:t>imited English p</w:t>
      </w:r>
      <w:r w:rsidR="00D25EBC" w:rsidRPr="0064311D">
        <w:rPr>
          <w:b/>
          <w:bCs/>
          <w:szCs w:val="24"/>
        </w:rPr>
        <w:t>roficient (LEP)</w:t>
      </w:r>
      <w:r w:rsidR="00D25EBC" w:rsidRPr="0064311D">
        <w:rPr>
          <w:szCs w:val="24"/>
        </w:rPr>
        <w:t xml:space="preserve"> individual</w:t>
      </w:r>
      <w:r w:rsidRPr="0064311D">
        <w:rPr>
          <w:szCs w:val="24"/>
        </w:rPr>
        <w:t>s</w:t>
      </w:r>
      <w:r w:rsidR="00D25EBC" w:rsidRPr="0064311D">
        <w:rPr>
          <w:szCs w:val="24"/>
        </w:rPr>
        <w:t xml:space="preserve"> </w:t>
      </w:r>
      <w:r w:rsidRPr="0064311D">
        <w:rPr>
          <w:szCs w:val="24"/>
        </w:rPr>
        <w:t>are</w:t>
      </w:r>
      <w:r w:rsidR="00D25EBC" w:rsidRPr="0064311D">
        <w:rPr>
          <w:szCs w:val="24"/>
        </w:rPr>
        <w:t xml:space="preserve"> </w:t>
      </w:r>
      <w:r w:rsidR="0035584C">
        <w:rPr>
          <w:szCs w:val="24"/>
        </w:rPr>
        <w:t>those</w:t>
      </w:r>
      <w:r w:rsidR="00D25EBC" w:rsidRPr="0064311D">
        <w:rPr>
          <w:szCs w:val="24"/>
        </w:rPr>
        <w:t xml:space="preserve"> who do not speak English as their primary language and who ha</w:t>
      </w:r>
      <w:r w:rsidR="00CC2554" w:rsidRPr="0064311D">
        <w:rPr>
          <w:szCs w:val="24"/>
        </w:rPr>
        <w:t>ve</w:t>
      </w:r>
      <w:r w:rsidR="00D25EBC" w:rsidRPr="0064311D">
        <w:rPr>
          <w:szCs w:val="24"/>
        </w:rPr>
        <w:t xml:space="preserve"> a limited ability to read, speak, write, or understand </w:t>
      </w:r>
      <w:r w:rsidR="00D25EBC" w:rsidRPr="00EE6F8D">
        <w:rPr>
          <w:szCs w:val="24"/>
        </w:rPr>
        <w:t xml:space="preserve">English.  </w:t>
      </w:r>
    </w:p>
    <w:p w:rsidR="00CC2554" w:rsidRPr="00EE6F8D" w:rsidRDefault="00CC2554" w:rsidP="00CC2554">
      <w:pPr>
        <w:jc w:val="both"/>
        <w:rPr>
          <w:b/>
          <w:bCs/>
        </w:rPr>
      </w:pPr>
    </w:p>
    <w:p w:rsidR="00810020" w:rsidRPr="0035584C" w:rsidRDefault="00CC2554" w:rsidP="00810020">
      <w:pPr>
        <w:jc w:val="both"/>
      </w:pPr>
      <w:r w:rsidRPr="00EE6F8D">
        <w:rPr>
          <w:b/>
          <w:bCs/>
        </w:rPr>
        <w:t>Threshold Language</w:t>
      </w:r>
      <w:r w:rsidRPr="00EE6F8D">
        <w:t xml:space="preserve"> is </w:t>
      </w:r>
      <w:r w:rsidR="0035584C" w:rsidRPr="00EE6F8D">
        <w:t>defined</w:t>
      </w:r>
      <w:r w:rsidRPr="00EE6F8D">
        <w:t xml:space="preserve"> </w:t>
      </w:r>
      <w:r w:rsidR="0035584C" w:rsidRPr="00EE6F8D">
        <w:t xml:space="preserve">by The California Department of Mental Health </w:t>
      </w:r>
      <w:r w:rsidR="003E3F7C" w:rsidRPr="00EE6F8D">
        <w:t xml:space="preserve">as </w:t>
      </w:r>
      <w:r w:rsidR="0035584C" w:rsidRPr="00EE6F8D">
        <w:t>“a language identified on the Medi-Cal Eligibility Data System (MEDS) as the primary language of 3,000 beneficiaries or five percent of the beneficiary population, whichever is lower, in an identified geographic area, per Title 9, CCR, Section 1810.410 (f) (3).”</w:t>
      </w:r>
      <w:r w:rsidR="003E3F7C">
        <w:t xml:space="preserve">  </w:t>
      </w:r>
      <w:r w:rsidR="00810020" w:rsidRPr="0035584C">
        <w:t xml:space="preserve">This report analyzes each of </w:t>
      </w:r>
      <w:smartTag w:uri="urn:schemas-microsoft-com:office:smarttags" w:element="State">
        <w:smartTag w:uri="urn:schemas-microsoft-com:office:smarttags" w:element="place">
          <w:r w:rsidR="00810020" w:rsidRPr="0035584C">
            <w:t>California</w:t>
          </w:r>
        </w:smartTag>
      </w:smartTag>
      <w:r w:rsidR="00810020" w:rsidRPr="0035584C">
        <w:t>’s 58 counties and lists their</w:t>
      </w:r>
      <w:r w:rsidR="00B946BC" w:rsidRPr="0035584C">
        <w:t xml:space="preserve"> threshold languages</w:t>
      </w:r>
      <w:r w:rsidR="006B1215">
        <w:t xml:space="preserve"> using </w:t>
      </w:r>
      <w:r w:rsidR="006F3194">
        <w:t xml:space="preserve">the same numeric criteria. However, it is based on </w:t>
      </w:r>
      <w:r w:rsidR="006B1215">
        <w:t>2010 Census data</w:t>
      </w:r>
      <w:r w:rsidR="006F3194">
        <w:t xml:space="preserve"> instead of Medi-Cal beneficiary data</w:t>
      </w:r>
      <w:r w:rsidR="006B1215">
        <w:t>.</w:t>
      </w:r>
    </w:p>
    <w:p w:rsidR="00D25EBC" w:rsidRPr="0064311D" w:rsidRDefault="00D25EBC" w:rsidP="00990EBA">
      <w:pPr>
        <w:jc w:val="both"/>
        <w:rPr>
          <w:szCs w:val="24"/>
        </w:rPr>
      </w:pPr>
    </w:p>
    <w:p w:rsidR="00810020" w:rsidRDefault="00810020" w:rsidP="00990EBA">
      <w:pPr>
        <w:jc w:val="both"/>
        <w:rPr>
          <w:b/>
          <w:bCs/>
          <w:szCs w:val="24"/>
        </w:rPr>
      </w:pPr>
      <w:r w:rsidRPr="0064311D">
        <w:rPr>
          <w:b/>
          <w:bCs/>
          <w:szCs w:val="24"/>
        </w:rPr>
        <w:t>Source</w:t>
      </w:r>
    </w:p>
    <w:p w:rsidR="006B1215" w:rsidRPr="0064311D" w:rsidRDefault="006B1215" w:rsidP="00990EBA">
      <w:pPr>
        <w:jc w:val="both"/>
        <w:rPr>
          <w:b/>
          <w:bCs/>
          <w:szCs w:val="24"/>
        </w:rPr>
      </w:pPr>
    </w:p>
    <w:p w:rsidR="00675AAF" w:rsidRPr="0064311D" w:rsidRDefault="004D5470" w:rsidP="00990EBA">
      <w:pPr>
        <w:jc w:val="both"/>
        <w:rPr>
          <w:rFonts w:eastAsia="SimSun"/>
          <w:szCs w:val="24"/>
        </w:rPr>
      </w:pPr>
      <w:r w:rsidRPr="0064311D">
        <w:rPr>
          <w:szCs w:val="24"/>
        </w:rPr>
        <w:t>The 2010 US Census and the American Community Survey</w:t>
      </w:r>
      <w:r w:rsidR="006F3194">
        <w:rPr>
          <w:szCs w:val="24"/>
        </w:rPr>
        <w:t xml:space="preserve"> </w:t>
      </w:r>
      <w:r w:rsidRPr="0064311D">
        <w:rPr>
          <w:szCs w:val="24"/>
        </w:rPr>
        <w:t xml:space="preserve">are the </w:t>
      </w:r>
      <w:r w:rsidR="006F3194">
        <w:rPr>
          <w:szCs w:val="24"/>
        </w:rPr>
        <w:t xml:space="preserve">primary </w:t>
      </w:r>
      <w:r w:rsidRPr="0064311D">
        <w:rPr>
          <w:szCs w:val="24"/>
        </w:rPr>
        <w:t xml:space="preserve">data sources used to develop this report.  </w:t>
      </w:r>
      <w:r w:rsidR="004E18E4" w:rsidRPr="0064311D">
        <w:rPr>
          <w:szCs w:val="24"/>
        </w:rPr>
        <w:t>The</w:t>
      </w:r>
      <w:r w:rsidR="001A2B39" w:rsidRPr="0064311D">
        <w:rPr>
          <w:szCs w:val="24"/>
        </w:rPr>
        <w:t xml:space="preserve"> tables titled, “B16001: Language Spoken at Home by Ability to Speak English for the Population 5 Years and Over” </w:t>
      </w:r>
      <w:r w:rsidR="00310CF4" w:rsidRPr="0064311D">
        <w:rPr>
          <w:szCs w:val="24"/>
        </w:rPr>
        <w:t>from the 2006-2010 ACS</w:t>
      </w:r>
      <w:r w:rsidR="00E111B6" w:rsidRPr="0064311D">
        <w:rPr>
          <w:szCs w:val="24"/>
        </w:rPr>
        <w:t xml:space="preserve"> 5-Year </w:t>
      </w:r>
      <w:r w:rsidR="00194CEC">
        <w:rPr>
          <w:szCs w:val="24"/>
        </w:rPr>
        <w:t>e</w:t>
      </w:r>
      <w:r w:rsidR="00194CEC" w:rsidRPr="0064311D">
        <w:rPr>
          <w:szCs w:val="24"/>
        </w:rPr>
        <w:t>stimates</w:t>
      </w:r>
      <w:r w:rsidR="00310CF4" w:rsidRPr="0064311D">
        <w:rPr>
          <w:szCs w:val="24"/>
        </w:rPr>
        <w:t xml:space="preserve"> </w:t>
      </w:r>
      <w:r w:rsidR="00810020" w:rsidRPr="0064311D">
        <w:rPr>
          <w:szCs w:val="24"/>
        </w:rPr>
        <w:t>a</w:t>
      </w:r>
      <w:r w:rsidR="004E18E4" w:rsidRPr="0064311D">
        <w:rPr>
          <w:szCs w:val="24"/>
        </w:rPr>
        <w:t xml:space="preserve">re used </w:t>
      </w:r>
      <w:r w:rsidR="00310CF4" w:rsidRPr="0064311D">
        <w:rPr>
          <w:szCs w:val="24"/>
        </w:rPr>
        <w:t xml:space="preserve">to </w:t>
      </w:r>
      <w:r w:rsidR="001D55F7" w:rsidRPr="0064311D">
        <w:rPr>
          <w:szCs w:val="24"/>
        </w:rPr>
        <w:t xml:space="preserve">analyze the </w:t>
      </w:r>
      <w:r w:rsidR="001D55F7" w:rsidRPr="0064311D">
        <w:rPr>
          <w:color w:val="000000"/>
          <w:sz w:val="23"/>
          <w:szCs w:val="23"/>
        </w:rPr>
        <w:t>percent</w:t>
      </w:r>
      <w:r w:rsidR="006F3194">
        <w:rPr>
          <w:color w:val="000000"/>
          <w:sz w:val="23"/>
          <w:szCs w:val="23"/>
        </w:rPr>
        <w:t>age</w:t>
      </w:r>
      <w:r w:rsidR="001D55F7" w:rsidRPr="0064311D">
        <w:rPr>
          <w:color w:val="000000"/>
          <w:sz w:val="23"/>
          <w:szCs w:val="23"/>
        </w:rPr>
        <w:t xml:space="preserve"> of Californians who speak English “less than well” or “not at all”</w:t>
      </w:r>
      <w:r w:rsidR="001A2B39" w:rsidRPr="0064311D">
        <w:rPr>
          <w:color w:val="000000"/>
          <w:sz w:val="23"/>
          <w:szCs w:val="23"/>
        </w:rPr>
        <w:t xml:space="preserve"> for </w:t>
      </w:r>
      <w:r w:rsidR="001A2B39" w:rsidRPr="0064311D">
        <w:rPr>
          <w:szCs w:val="24"/>
        </w:rPr>
        <w:t>each of the 58 counties in California</w:t>
      </w:r>
      <w:r w:rsidR="00211EBE" w:rsidRPr="0064311D">
        <w:rPr>
          <w:szCs w:val="24"/>
        </w:rPr>
        <w:t xml:space="preserve"> and for the whole </w:t>
      </w:r>
      <w:r w:rsidR="00211EBE" w:rsidRPr="0064311D">
        <w:rPr>
          <w:szCs w:val="24"/>
        </w:rPr>
        <w:lastRenderedPageBreak/>
        <w:t>state</w:t>
      </w:r>
      <w:r w:rsidR="00D25EBC" w:rsidRPr="0064311D">
        <w:rPr>
          <w:szCs w:val="24"/>
        </w:rPr>
        <w:t>.  The data</w:t>
      </w:r>
      <w:r w:rsidR="003A77BD" w:rsidRPr="0064311D">
        <w:rPr>
          <w:szCs w:val="24"/>
        </w:rPr>
        <w:t xml:space="preserve"> containing estimates</w:t>
      </w:r>
      <w:r w:rsidR="00D25EBC" w:rsidRPr="0064311D">
        <w:rPr>
          <w:szCs w:val="24"/>
        </w:rPr>
        <w:t xml:space="preserve"> are based on a sample</w:t>
      </w:r>
      <w:r w:rsidR="003A77BD" w:rsidRPr="0064311D">
        <w:rPr>
          <w:szCs w:val="24"/>
        </w:rPr>
        <w:t xml:space="preserve"> of each county’s population</w:t>
      </w:r>
      <w:r w:rsidR="00D25EBC" w:rsidRPr="0064311D">
        <w:rPr>
          <w:szCs w:val="24"/>
        </w:rPr>
        <w:t xml:space="preserve"> and are subject to sampling variability</w:t>
      </w:r>
      <w:r w:rsidR="003A77BD" w:rsidRPr="0064311D">
        <w:rPr>
          <w:szCs w:val="24"/>
        </w:rPr>
        <w:t xml:space="preserve"> and errors</w:t>
      </w:r>
      <w:r w:rsidR="00D25EBC" w:rsidRPr="0064311D">
        <w:rPr>
          <w:szCs w:val="24"/>
        </w:rPr>
        <w:t xml:space="preserve">. </w:t>
      </w:r>
      <w:r w:rsidR="00D25EBC" w:rsidRPr="0064311D">
        <w:rPr>
          <w:rFonts w:eastAsia="SimSun"/>
          <w:szCs w:val="24"/>
        </w:rPr>
        <w:t xml:space="preserve">  ACS </w:t>
      </w:r>
      <w:r w:rsidR="00810020" w:rsidRPr="0064311D">
        <w:rPr>
          <w:rFonts w:eastAsia="SimSun"/>
          <w:szCs w:val="24"/>
        </w:rPr>
        <w:t>i</w:t>
      </w:r>
      <w:r w:rsidR="00341FCD" w:rsidRPr="0064311D">
        <w:rPr>
          <w:rFonts w:eastAsia="SimSun"/>
          <w:szCs w:val="24"/>
        </w:rPr>
        <w:t xml:space="preserve">s </w:t>
      </w:r>
      <w:r w:rsidR="004E18E4" w:rsidRPr="0064311D">
        <w:rPr>
          <w:rFonts w:eastAsia="SimSun"/>
          <w:szCs w:val="24"/>
        </w:rPr>
        <w:t xml:space="preserve">used </w:t>
      </w:r>
      <w:r w:rsidR="00D25EBC" w:rsidRPr="0064311D">
        <w:rPr>
          <w:rFonts w:eastAsia="SimSun"/>
          <w:szCs w:val="24"/>
        </w:rPr>
        <w:t xml:space="preserve">because it provides more comprehensive data on a wide range of demographic, socioeconomic, and other characteristics compared to the Census.  </w:t>
      </w:r>
    </w:p>
    <w:p w:rsidR="00675AAF" w:rsidRPr="0064311D" w:rsidRDefault="00675AAF" w:rsidP="00990EBA">
      <w:pPr>
        <w:jc w:val="both"/>
        <w:rPr>
          <w:rFonts w:eastAsia="SimSun"/>
          <w:szCs w:val="24"/>
        </w:rPr>
      </w:pPr>
    </w:p>
    <w:p w:rsidR="00D25EBC" w:rsidRPr="0064311D" w:rsidRDefault="006F3194" w:rsidP="00990EBA">
      <w:pPr>
        <w:jc w:val="both"/>
        <w:rPr>
          <w:szCs w:val="24"/>
        </w:rPr>
      </w:pPr>
      <w:r>
        <w:rPr>
          <w:rFonts w:eastAsia="SimSun"/>
          <w:szCs w:val="24"/>
        </w:rPr>
        <w:t xml:space="preserve">This report uses data </w:t>
      </w:r>
      <w:r w:rsidR="004E18E4" w:rsidRPr="0064311D">
        <w:rPr>
          <w:rFonts w:eastAsia="SimSun"/>
          <w:szCs w:val="24"/>
        </w:rPr>
        <w:t>from</w:t>
      </w:r>
      <w:r w:rsidR="00D25EBC" w:rsidRPr="0064311D">
        <w:rPr>
          <w:rFonts w:eastAsia="SimSun"/>
          <w:szCs w:val="24"/>
        </w:rPr>
        <w:t xml:space="preserve"> the </w:t>
      </w:r>
      <w:r>
        <w:rPr>
          <w:rFonts w:eastAsia="SimSun"/>
          <w:szCs w:val="24"/>
        </w:rPr>
        <w:t>ACS</w:t>
      </w:r>
      <w:r w:rsidR="00D25EBC" w:rsidRPr="0064311D">
        <w:rPr>
          <w:rFonts w:eastAsia="SimSun"/>
          <w:szCs w:val="24"/>
        </w:rPr>
        <w:t xml:space="preserve"> </w:t>
      </w:r>
      <w:r>
        <w:rPr>
          <w:rFonts w:eastAsia="SimSun"/>
          <w:szCs w:val="24"/>
        </w:rPr>
        <w:t xml:space="preserve">5-Year </w:t>
      </w:r>
      <w:r w:rsidR="00D25EBC" w:rsidRPr="0064311D">
        <w:rPr>
          <w:rFonts w:eastAsia="SimSun"/>
          <w:szCs w:val="24"/>
        </w:rPr>
        <w:t>estimates</w:t>
      </w:r>
      <w:r w:rsidR="00310CF4" w:rsidRPr="0064311D">
        <w:rPr>
          <w:rFonts w:eastAsia="SimSun"/>
          <w:szCs w:val="24"/>
        </w:rPr>
        <w:t xml:space="preserve"> rather than the </w:t>
      </w:r>
      <w:r w:rsidR="00194CEC">
        <w:rPr>
          <w:rFonts w:eastAsia="SimSun"/>
          <w:szCs w:val="24"/>
        </w:rPr>
        <w:t>1y</w:t>
      </w:r>
      <w:r w:rsidRPr="0064311D">
        <w:rPr>
          <w:rFonts w:eastAsia="SimSun"/>
          <w:szCs w:val="24"/>
        </w:rPr>
        <w:t xml:space="preserve">ear </w:t>
      </w:r>
      <w:r w:rsidR="001A2B39" w:rsidRPr="0064311D">
        <w:rPr>
          <w:rFonts w:eastAsia="SimSun"/>
          <w:szCs w:val="24"/>
        </w:rPr>
        <w:t>or</w:t>
      </w:r>
      <w:r w:rsidR="00310CF4" w:rsidRPr="0064311D">
        <w:rPr>
          <w:rFonts w:eastAsia="SimSun"/>
          <w:szCs w:val="24"/>
        </w:rPr>
        <w:t xml:space="preserve"> </w:t>
      </w:r>
      <w:r w:rsidR="00194CEC">
        <w:rPr>
          <w:rFonts w:eastAsia="SimSun"/>
          <w:szCs w:val="24"/>
        </w:rPr>
        <w:t>3</w:t>
      </w:r>
      <w:r w:rsidR="00310CF4" w:rsidRPr="0064311D">
        <w:rPr>
          <w:rFonts w:eastAsia="SimSun"/>
          <w:szCs w:val="24"/>
        </w:rPr>
        <w:t>- estimates</w:t>
      </w:r>
      <w:r w:rsidR="00D25EBC" w:rsidRPr="0064311D">
        <w:rPr>
          <w:rFonts w:eastAsia="SimSun"/>
          <w:szCs w:val="24"/>
        </w:rPr>
        <w:t xml:space="preserve"> </w:t>
      </w:r>
      <w:r w:rsidR="00675AAF" w:rsidRPr="0064311D">
        <w:rPr>
          <w:rFonts w:eastAsia="SimSun"/>
          <w:szCs w:val="24"/>
        </w:rPr>
        <w:t>because this data</w:t>
      </w:r>
      <w:r w:rsidR="00D25EBC" w:rsidRPr="0064311D">
        <w:rPr>
          <w:rFonts w:eastAsia="SimSun"/>
          <w:szCs w:val="24"/>
        </w:rPr>
        <w:t xml:space="preserve"> </w:t>
      </w:r>
      <w:r w:rsidR="00310CF4" w:rsidRPr="0064311D">
        <w:rPr>
          <w:rFonts w:eastAsia="SimSun"/>
          <w:szCs w:val="24"/>
        </w:rPr>
        <w:t>includ</w:t>
      </w:r>
      <w:r w:rsidR="00675AAF" w:rsidRPr="0064311D">
        <w:rPr>
          <w:rFonts w:eastAsia="SimSun"/>
          <w:szCs w:val="24"/>
        </w:rPr>
        <w:t xml:space="preserve">es </w:t>
      </w:r>
      <w:r w:rsidR="00D25EBC" w:rsidRPr="0064311D">
        <w:rPr>
          <w:rFonts w:eastAsia="SimSun"/>
          <w:szCs w:val="24"/>
        </w:rPr>
        <w:t>rural areas with fewer than 20,000 residents</w:t>
      </w:r>
      <w:r w:rsidR="009311B2" w:rsidRPr="0064311D">
        <w:rPr>
          <w:rFonts w:eastAsia="SimSun"/>
          <w:szCs w:val="24"/>
        </w:rPr>
        <w:t xml:space="preserve">, such as Alpine County </w:t>
      </w:r>
      <w:r w:rsidR="00675AAF" w:rsidRPr="0064311D">
        <w:rPr>
          <w:rFonts w:eastAsia="SimSun"/>
          <w:szCs w:val="24"/>
        </w:rPr>
        <w:t>(</w:t>
      </w:r>
      <w:r w:rsidR="009311B2" w:rsidRPr="0064311D">
        <w:rPr>
          <w:rFonts w:eastAsia="SimSun"/>
          <w:szCs w:val="24"/>
        </w:rPr>
        <w:t>1,065</w:t>
      </w:r>
      <w:r w:rsidR="00675AAF" w:rsidRPr="0064311D">
        <w:rPr>
          <w:rFonts w:eastAsia="SimSun"/>
          <w:szCs w:val="24"/>
        </w:rPr>
        <w:t>)</w:t>
      </w:r>
      <w:r w:rsidR="009311B2" w:rsidRPr="0064311D">
        <w:rPr>
          <w:rFonts w:eastAsia="SimSun"/>
          <w:szCs w:val="24"/>
        </w:rPr>
        <w:t xml:space="preserve"> and </w:t>
      </w:r>
      <w:smartTag w:uri="urn:schemas-microsoft-com:office:smarttags" w:element="place">
        <w:smartTag w:uri="urn:schemas-microsoft-com:office:smarttags" w:element="PlaceName">
          <w:r w:rsidR="009311B2" w:rsidRPr="0064311D">
            <w:rPr>
              <w:rFonts w:eastAsia="SimSun"/>
              <w:szCs w:val="24"/>
            </w:rPr>
            <w:t>Modoc</w:t>
          </w:r>
        </w:smartTag>
        <w:r w:rsidR="009311B2" w:rsidRPr="0064311D">
          <w:rPr>
            <w:rFonts w:eastAsia="SimSun"/>
            <w:szCs w:val="24"/>
          </w:rPr>
          <w:t xml:space="preserve"> </w:t>
        </w:r>
        <w:smartTag w:uri="urn:schemas-microsoft-com:office:smarttags" w:element="PlaceType">
          <w:r w:rsidR="009311B2" w:rsidRPr="0064311D">
            <w:rPr>
              <w:rFonts w:eastAsia="SimSun"/>
              <w:szCs w:val="24"/>
            </w:rPr>
            <w:t>County</w:t>
          </w:r>
        </w:smartTag>
      </w:smartTag>
      <w:r w:rsidR="009311B2" w:rsidRPr="0064311D">
        <w:rPr>
          <w:rFonts w:eastAsia="SimSun"/>
          <w:szCs w:val="24"/>
        </w:rPr>
        <w:t xml:space="preserve"> </w:t>
      </w:r>
      <w:r w:rsidR="00675AAF" w:rsidRPr="0064311D">
        <w:rPr>
          <w:rFonts w:eastAsia="SimSun"/>
          <w:szCs w:val="24"/>
        </w:rPr>
        <w:t>(</w:t>
      </w:r>
      <w:r w:rsidR="009311B2" w:rsidRPr="0064311D">
        <w:rPr>
          <w:rFonts w:eastAsia="SimSun"/>
          <w:szCs w:val="24"/>
        </w:rPr>
        <w:t>8,762</w:t>
      </w:r>
      <w:r w:rsidR="00675AAF" w:rsidRPr="0064311D">
        <w:rPr>
          <w:rFonts w:eastAsia="SimSun"/>
          <w:szCs w:val="24"/>
        </w:rPr>
        <w:t>)</w:t>
      </w:r>
      <w:r w:rsidR="00D25EBC" w:rsidRPr="0064311D">
        <w:rPr>
          <w:rFonts w:eastAsia="SimSun"/>
          <w:szCs w:val="24"/>
        </w:rPr>
        <w:t>.</w:t>
      </w:r>
      <w:r w:rsidR="00675AAF" w:rsidRPr="0064311D">
        <w:rPr>
          <w:rFonts w:eastAsia="SimSun"/>
          <w:szCs w:val="24"/>
        </w:rPr>
        <w:t xml:space="preserve"> </w:t>
      </w:r>
      <w:r w:rsidR="00D25EBC" w:rsidRPr="0064311D">
        <w:rPr>
          <w:rFonts w:eastAsia="SimSun"/>
          <w:szCs w:val="24"/>
        </w:rPr>
        <w:t xml:space="preserve">The </w:t>
      </w:r>
      <w:r w:rsidR="00194CEC">
        <w:rPr>
          <w:rFonts w:eastAsia="SimSun"/>
          <w:szCs w:val="24"/>
        </w:rPr>
        <w:t>5</w:t>
      </w:r>
      <w:r w:rsidR="00D25EBC" w:rsidRPr="0064311D">
        <w:rPr>
          <w:rFonts w:eastAsia="SimSun"/>
          <w:szCs w:val="24"/>
        </w:rPr>
        <w:t xml:space="preserve">-year estimates </w:t>
      </w:r>
      <w:r w:rsidR="00D25EBC" w:rsidRPr="0064311D">
        <w:rPr>
          <w:szCs w:val="24"/>
        </w:rPr>
        <w:t>combine</w:t>
      </w:r>
      <w:r w:rsidR="00DF7492" w:rsidRPr="0064311D">
        <w:rPr>
          <w:szCs w:val="24"/>
        </w:rPr>
        <w:t xml:space="preserve"> </w:t>
      </w:r>
      <w:r w:rsidR="00D25EBC" w:rsidRPr="0064311D">
        <w:rPr>
          <w:szCs w:val="24"/>
        </w:rPr>
        <w:t xml:space="preserve">population </w:t>
      </w:r>
      <w:r w:rsidR="00675AAF" w:rsidRPr="0064311D">
        <w:rPr>
          <w:szCs w:val="24"/>
        </w:rPr>
        <w:t xml:space="preserve">and </w:t>
      </w:r>
      <w:r w:rsidR="00D25EBC" w:rsidRPr="0064311D">
        <w:rPr>
          <w:szCs w:val="24"/>
        </w:rPr>
        <w:t xml:space="preserve">housing data </w:t>
      </w:r>
      <w:r w:rsidR="00DF7492" w:rsidRPr="0064311D">
        <w:rPr>
          <w:szCs w:val="24"/>
        </w:rPr>
        <w:t>from the past 60 months</w:t>
      </w:r>
      <w:r w:rsidR="00D25EBC" w:rsidRPr="0064311D">
        <w:rPr>
          <w:szCs w:val="24"/>
        </w:rPr>
        <w:t xml:space="preserve"> to produce </w:t>
      </w:r>
      <w:r w:rsidR="00DF7492" w:rsidRPr="0064311D">
        <w:rPr>
          <w:szCs w:val="24"/>
        </w:rPr>
        <w:t>demographic, housing, social, and economic characteristics for the nation, states, cities, counties, and other small geographic areas</w:t>
      </w:r>
      <w:r w:rsidR="00D25EBC" w:rsidRPr="0064311D">
        <w:rPr>
          <w:szCs w:val="24"/>
        </w:rPr>
        <w:t xml:space="preserve">.  </w:t>
      </w:r>
      <w:r w:rsidR="00DF7492" w:rsidRPr="0064311D">
        <w:rPr>
          <w:szCs w:val="24"/>
        </w:rPr>
        <w:t xml:space="preserve">The Census Bureau has produced </w:t>
      </w:r>
      <w:r w:rsidR="00194CEC">
        <w:rPr>
          <w:szCs w:val="24"/>
        </w:rPr>
        <w:t>5</w:t>
      </w:r>
      <w:r w:rsidR="00DF7492" w:rsidRPr="0064311D">
        <w:rPr>
          <w:szCs w:val="24"/>
        </w:rPr>
        <w:t>-year estimates from the ACS since 2010. The</w:t>
      </w:r>
      <w:r w:rsidR="00D25EBC" w:rsidRPr="0064311D">
        <w:rPr>
          <w:szCs w:val="24"/>
        </w:rPr>
        <w:t xml:space="preserve"> estimates </w:t>
      </w:r>
      <w:r w:rsidR="00DF7492" w:rsidRPr="0064311D">
        <w:rPr>
          <w:szCs w:val="24"/>
        </w:rPr>
        <w:t xml:space="preserve">are </w:t>
      </w:r>
      <w:r w:rsidR="00D25EBC" w:rsidRPr="0064311D">
        <w:rPr>
          <w:szCs w:val="24"/>
        </w:rPr>
        <w:t>updated annually by removing the earliest year and replacing it w</w:t>
      </w:r>
      <w:r w:rsidR="00573F7B" w:rsidRPr="0064311D">
        <w:rPr>
          <w:szCs w:val="24"/>
        </w:rPr>
        <w:t xml:space="preserve">ith the latest one, which allows for </w:t>
      </w:r>
      <w:r w:rsidR="00D25EBC" w:rsidRPr="0064311D">
        <w:rPr>
          <w:szCs w:val="24"/>
        </w:rPr>
        <w:t>monitor</w:t>
      </w:r>
      <w:r w:rsidR="00DF7492" w:rsidRPr="0064311D">
        <w:rPr>
          <w:szCs w:val="24"/>
        </w:rPr>
        <w:t>ing</w:t>
      </w:r>
      <w:r w:rsidR="00D25EBC" w:rsidRPr="0064311D">
        <w:rPr>
          <w:szCs w:val="24"/>
        </w:rPr>
        <w:t xml:space="preserve"> social and economic trends in local communities.</w:t>
      </w:r>
    </w:p>
    <w:p w:rsidR="0094771B" w:rsidRPr="0064311D" w:rsidRDefault="0094771B" w:rsidP="00990EBA">
      <w:pPr>
        <w:jc w:val="both"/>
      </w:pPr>
    </w:p>
    <w:p w:rsidR="00D25EBC" w:rsidRPr="0064311D" w:rsidRDefault="00D25EBC" w:rsidP="00990EBA">
      <w:pPr>
        <w:ind w:left="360"/>
        <w:jc w:val="both"/>
        <w:rPr>
          <w:b/>
          <w:bCs/>
          <w:szCs w:val="24"/>
        </w:rPr>
      </w:pPr>
    </w:p>
    <w:p w:rsidR="00D25EBC" w:rsidRPr="0064311D" w:rsidRDefault="00D25EBC" w:rsidP="00990EBA">
      <w:pPr>
        <w:ind w:left="360"/>
        <w:jc w:val="both"/>
        <w:rPr>
          <w:b/>
          <w:bCs/>
          <w:szCs w:val="24"/>
        </w:rPr>
      </w:pPr>
    </w:p>
    <w:p w:rsidR="00D25EBC" w:rsidRPr="0064311D" w:rsidRDefault="00D25EBC" w:rsidP="00990EBA">
      <w:pPr>
        <w:numPr>
          <w:ilvl w:val="0"/>
          <w:numId w:val="3"/>
        </w:numPr>
        <w:jc w:val="both"/>
        <w:rPr>
          <w:b/>
          <w:bCs/>
          <w:szCs w:val="24"/>
        </w:rPr>
      </w:pPr>
      <w:r w:rsidRPr="0064311D">
        <w:rPr>
          <w:b/>
          <w:bCs/>
          <w:szCs w:val="24"/>
        </w:rPr>
        <w:t xml:space="preserve">SUMMARY OF </w:t>
      </w:r>
      <w:r w:rsidR="00B946BC" w:rsidRPr="0064311D">
        <w:rPr>
          <w:b/>
          <w:bCs/>
          <w:szCs w:val="24"/>
        </w:rPr>
        <w:t xml:space="preserve">DATA </w:t>
      </w:r>
      <w:r w:rsidRPr="0064311D">
        <w:rPr>
          <w:b/>
          <w:bCs/>
          <w:szCs w:val="24"/>
        </w:rPr>
        <w:t>REPORTS</w:t>
      </w:r>
    </w:p>
    <w:p w:rsidR="00112576" w:rsidRPr="0064311D" w:rsidRDefault="00112576" w:rsidP="00990EBA">
      <w:pPr>
        <w:jc w:val="both"/>
        <w:rPr>
          <w:szCs w:val="24"/>
        </w:rPr>
      </w:pPr>
    </w:p>
    <w:p w:rsidR="00032B12" w:rsidRPr="0064311D" w:rsidRDefault="00F10DC9" w:rsidP="00990EBA">
      <w:pPr>
        <w:jc w:val="both"/>
        <w:rPr>
          <w:szCs w:val="24"/>
        </w:rPr>
      </w:pPr>
      <w:smartTag w:uri="urn:schemas-microsoft-com:office:smarttags" w:element="State">
        <w:r w:rsidRPr="0064311D">
          <w:rPr>
            <w:szCs w:val="24"/>
          </w:rPr>
          <w:t>California</w:t>
        </w:r>
      </w:smartTag>
      <w:r w:rsidRPr="0064311D">
        <w:rPr>
          <w:szCs w:val="24"/>
        </w:rPr>
        <w:t xml:space="preserve">’s total population </w:t>
      </w:r>
      <w:r w:rsidR="00194CEC">
        <w:rPr>
          <w:szCs w:val="24"/>
        </w:rPr>
        <w:t>surpasses 34 million residents</w:t>
      </w:r>
      <w:r w:rsidR="00194CEC" w:rsidRPr="0064311D">
        <w:rPr>
          <w:szCs w:val="24"/>
        </w:rPr>
        <w:t xml:space="preserve"> </w:t>
      </w:r>
      <w:r w:rsidRPr="0064311D">
        <w:rPr>
          <w:szCs w:val="24"/>
        </w:rPr>
        <w:t>and its</w:t>
      </w:r>
      <w:r w:rsidR="0094771B" w:rsidRPr="0064311D">
        <w:rPr>
          <w:szCs w:val="24"/>
        </w:rPr>
        <w:t xml:space="preserve"> counties range in total population from Alpine County with the smallest total population of </w:t>
      </w:r>
      <w:r w:rsidR="00194CEC">
        <w:rPr>
          <w:szCs w:val="24"/>
        </w:rPr>
        <w:t xml:space="preserve">nearly </w:t>
      </w:r>
      <w:r w:rsidR="0094771B" w:rsidRPr="0064311D">
        <w:rPr>
          <w:szCs w:val="24"/>
        </w:rPr>
        <w:t>1,</w:t>
      </w:r>
      <w:r w:rsidR="00194CEC">
        <w:rPr>
          <w:szCs w:val="24"/>
        </w:rPr>
        <w:t>100</w:t>
      </w:r>
      <w:r w:rsidR="00194CEC" w:rsidRPr="0064311D">
        <w:rPr>
          <w:szCs w:val="24"/>
        </w:rPr>
        <w:t xml:space="preserve"> </w:t>
      </w:r>
      <w:r w:rsidR="0094771B" w:rsidRPr="0064311D">
        <w:rPr>
          <w:szCs w:val="24"/>
        </w:rPr>
        <w:t xml:space="preserve">to </w:t>
      </w:r>
      <w:smartTag w:uri="urn:schemas-microsoft-com:office:smarttags" w:element="City">
        <w:smartTag w:uri="urn:schemas-microsoft-com:office:smarttags" w:element="place">
          <w:r w:rsidR="0094771B" w:rsidRPr="0064311D">
            <w:rPr>
              <w:szCs w:val="24"/>
            </w:rPr>
            <w:t>Los Angeles</w:t>
          </w:r>
        </w:smartTag>
      </w:smartTag>
      <w:r w:rsidR="0094771B" w:rsidRPr="0064311D">
        <w:rPr>
          <w:szCs w:val="24"/>
        </w:rPr>
        <w:t xml:space="preserve"> with the largest population of </w:t>
      </w:r>
      <w:r w:rsidR="00194CEC">
        <w:rPr>
          <w:szCs w:val="24"/>
        </w:rPr>
        <w:t xml:space="preserve">over 9 million. </w:t>
      </w:r>
      <w:r w:rsidR="0094771B" w:rsidRPr="0064311D">
        <w:rPr>
          <w:szCs w:val="24"/>
        </w:rPr>
        <w:t xml:space="preserve">There are </w:t>
      </w:r>
      <w:r w:rsidR="00032B12" w:rsidRPr="0064311D">
        <w:rPr>
          <w:szCs w:val="24"/>
        </w:rPr>
        <w:t>45</w:t>
      </w:r>
      <w:r w:rsidR="0094771B" w:rsidRPr="0064311D">
        <w:rPr>
          <w:szCs w:val="24"/>
        </w:rPr>
        <w:t xml:space="preserve"> counties with population</w:t>
      </w:r>
      <w:r w:rsidR="00DF7492" w:rsidRPr="0064311D">
        <w:rPr>
          <w:szCs w:val="24"/>
        </w:rPr>
        <w:t>s</w:t>
      </w:r>
      <w:r w:rsidR="0094771B" w:rsidRPr="0064311D">
        <w:rPr>
          <w:szCs w:val="24"/>
        </w:rPr>
        <w:t xml:space="preserve"> </w:t>
      </w:r>
      <w:r w:rsidR="00032B12" w:rsidRPr="0064311D">
        <w:rPr>
          <w:szCs w:val="24"/>
        </w:rPr>
        <w:t>under 650,000 and seven counties with population</w:t>
      </w:r>
      <w:r w:rsidR="00DF7492" w:rsidRPr="0064311D">
        <w:rPr>
          <w:szCs w:val="24"/>
        </w:rPr>
        <w:t>s</w:t>
      </w:r>
      <w:r w:rsidR="00032B12" w:rsidRPr="0064311D">
        <w:rPr>
          <w:szCs w:val="24"/>
        </w:rPr>
        <w:t xml:space="preserve"> under 20,000.</w:t>
      </w:r>
      <w:r w:rsidR="00554D8C" w:rsidRPr="0064311D">
        <w:rPr>
          <w:szCs w:val="24"/>
        </w:rPr>
        <w:t xml:space="preserve">  The following are tables that provide a summary of the data collected from the 2010</w:t>
      </w:r>
      <w:r w:rsidR="00CA4974" w:rsidRPr="0064311D">
        <w:rPr>
          <w:szCs w:val="24"/>
        </w:rPr>
        <w:t xml:space="preserve"> US Census and the </w:t>
      </w:r>
      <w:r w:rsidR="00194CEC">
        <w:rPr>
          <w:szCs w:val="24"/>
        </w:rPr>
        <w:t>ACS</w:t>
      </w:r>
      <w:r w:rsidR="00CA4974" w:rsidRPr="0064311D">
        <w:rPr>
          <w:szCs w:val="24"/>
        </w:rPr>
        <w:t xml:space="preserve"> regarding languages spoken at home by LEP populations.</w:t>
      </w:r>
    </w:p>
    <w:p w:rsidR="00032B12" w:rsidRPr="0064311D" w:rsidRDefault="00032B12" w:rsidP="00990EBA">
      <w:pPr>
        <w:jc w:val="both"/>
        <w:rPr>
          <w:szCs w:val="24"/>
        </w:rPr>
      </w:pPr>
    </w:p>
    <w:p w:rsidR="009874C4" w:rsidRPr="00EE6F8D" w:rsidRDefault="006773E4" w:rsidP="00990EBA">
      <w:pPr>
        <w:jc w:val="both"/>
        <w:rPr>
          <w:szCs w:val="24"/>
        </w:rPr>
      </w:pPr>
      <w:bookmarkStart w:id="0" w:name="OLE_LINK1"/>
      <w:bookmarkStart w:id="1" w:name="OLE_LINK2"/>
      <w:r w:rsidRPr="0064311D">
        <w:rPr>
          <w:b/>
          <w:bCs/>
          <w:szCs w:val="24"/>
        </w:rPr>
        <w:t>Appendix A</w:t>
      </w:r>
      <w:r w:rsidR="00DF7492" w:rsidRPr="0064311D">
        <w:rPr>
          <w:b/>
          <w:bCs/>
          <w:szCs w:val="24"/>
        </w:rPr>
        <w:t xml:space="preserve">: </w:t>
      </w:r>
      <w:bookmarkEnd w:id="0"/>
      <w:bookmarkEnd w:id="1"/>
      <w:r w:rsidR="00BF791C" w:rsidRPr="0064311D">
        <w:rPr>
          <w:b/>
          <w:bCs/>
          <w:szCs w:val="24"/>
        </w:rPr>
        <w:t>Limited English Proficienc</w:t>
      </w:r>
      <w:r w:rsidR="008F6476">
        <w:rPr>
          <w:b/>
          <w:bCs/>
          <w:szCs w:val="24"/>
        </w:rPr>
        <w:t xml:space="preserve">y by County Population </w:t>
      </w:r>
      <w:r w:rsidR="00032B12" w:rsidRPr="0064311D">
        <w:rPr>
          <w:szCs w:val="24"/>
        </w:rPr>
        <w:t xml:space="preserve">lists the </w:t>
      </w:r>
      <w:r w:rsidR="00DF7492" w:rsidRPr="0064311D">
        <w:rPr>
          <w:szCs w:val="24"/>
        </w:rPr>
        <w:t>estimated numbers</w:t>
      </w:r>
      <w:r w:rsidR="00E90D1F" w:rsidRPr="0064311D">
        <w:rPr>
          <w:szCs w:val="24"/>
        </w:rPr>
        <w:t xml:space="preserve"> </w:t>
      </w:r>
      <w:r w:rsidR="005A41F1" w:rsidRPr="0064311D">
        <w:rPr>
          <w:szCs w:val="24"/>
        </w:rPr>
        <w:t xml:space="preserve">of residents who speak </w:t>
      </w:r>
      <w:r w:rsidR="00E90D1F" w:rsidRPr="0064311D">
        <w:rPr>
          <w:szCs w:val="24"/>
        </w:rPr>
        <w:t>a particular language</w:t>
      </w:r>
      <w:r w:rsidR="005A41F1" w:rsidRPr="0064311D">
        <w:rPr>
          <w:szCs w:val="24"/>
        </w:rPr>
        <w:t xml:space="preserve"> </w:t>
      </w:r>
      <w:r w:rsidR="00E90D1F" w:rsidRPr="0064311D">
        <w:rPr>
          <w:szCs w:val="24"/>
        </w:rPr>
        <w:t>as a percentage of</w:t>
      </w:r>
      <w:r w:rsidR="005A41F1" w:rsidRPr="0064311D">
        <w:rPr>
          <w:szCs w:val="24"/>
        </w:rPr>
        <w:t xml:space="preserve"> </w:t>
      </w:r>
      <w:r w:rsidR="00194CEC">
        <w:rPr>
          <w:szCs w:val="24"/>
        </w:rPr>
        <w:t>the</w:t>
      </w:r>
      <w:r w:rsidR="009874C4" w:rsidRPr="0064311D">
        <w:rPr>
          <w:szCs w:val="24"/>
        </w:rPr>
        <w:t xml:space="preserve"> county’s </w:t>
      </w:r>
      <w:r w:rsidR="009874C4" w:rsidRPr="00EE6F8D">
        <w:rPr>
          <w:szCs w:val="24"/>
        </w:rPr>
        <w:t>total population</w:t>
      </w:r>
      <w:r w:rsidR="00DE232E" w:rsidRPr="00EE6F8D">
        <w:rPr>
          <w:szCs w:val="24"/>
        </w:rPr>
        <w:t>. There are over 30 different languages listed.</w:t>
      </w:r>
      <w:r w:rsidR="00032B12" w:rsidRPr="00EE6F8D">
        <w:rPr>
          <w:szCs w:val="24"/>
        </w:rPr>
        <w:t xml:space="preserve"> </w:t>
      </w:r>
      <w:r w:rsidR="00DE232E" w:rsidRPr="00EE6F8D">
        <w:rPr>
          <w:szCs w:val="24"/>
        </w:rPr>
        <w:t xml:space="preserve">For those who </w:t>
      </w:r>
      <w:r w:rsidR="00032B12" w:rsidRPr="00EE6F8D">
        <w:rPr>
          <w:szCs w:val="24"/>
        </w:rPr>
        <w:t>speak a language other than English in the home,</w:t>
      </w:r>
      <w:r w:rsidR="0094771B" w:rsidRPr="00EE6F8D">
        <w:rPr>
          <w:szCs w:val="24"/>
        </w:rPr>
        <w:t xml:space="preserve"> </w:t>
      </w:r>
      <w:r w:rsidR="00DE232E" w:rsidRPr="00EE6F8D">
        <w:rPr>
          <w:szCs w:val="24"/>
        </w:rPr>
        <w:t>the number who</w:t>
      </w:r>
      <w:r w:rsidR="00194CEC" w:rsidRPr="00EE6F8D">
        <w:rPr>
          <w:szCs w:val="24"/>
        </w:rPr>
        <w:t xml:space="preserve"> are LEP</w:t>
      </w:r>
      <w:r w:rsidR="000A22D3" w:rsidRPr="00EE6F8D">
        <w:rPr>
          <w:szCs w:val="24"/>
        </w:rPr>
        <w:t xml:space="preserve"> </w:t>
      </w:r>
      <w:r w:rsidR="00DE232E" w:rsidRPr="00EE6F8D">
        <w:rPr>
          <w:szCs w:val="24"/>
        </w:rPr>
        <w:t>is included</w:t>
      </w:r>
      <w:r w:rsidR="008918C7" w:rsidRPr="00EE6F8D">
        <w:rPr>
          <w:szCs w:val="24"/>
        </w:rPr>
        <w:t xml:space="preserve">, expressed as a percentage of </w:t>
      </w:r>
      <w:r w:rsidR="008918C7" w:rsidRPr="00EE6F8D">
        <w:rPr>
          <w:i/>
          <w:szCs w:val="24"/>
        </w:rPr>
        <w:t>the total population</w:t>
      </w:r>
      <w:r w:rsidR="00032B12" w:rsidRPr="00EE6F8D">
        <w:rPr>
          <w:szCs w:val="24"/>
        </w:rPr>
        <w:t>.</w:t>
      </w:r>
      <w:r w:rsidR="00A30BFE" w:rsidRPr="00EE6F8D">
        <w:rPr>
          <w:szCs w:val="24"/>
        </w:rPr>
        <w:t xml:space="preserve">  </w:t>
      </w:r>
      <w:r w:rsidR="00A30BFE" w:rsidRPr="00EE6F8D">
        <w:rPr>
          <w:b/>
          <w:bCs/>
          <w:szCs w:val="24"/>
        </w:rPr>
        <w:t>For example</w:t>
      </w:r>
      <w:r w:rsidR="00A30BFE" w:rsidRPr="00EE6F8D">
        <w:rPr>
          <w:szCs w:val="24"/>
        </w:rPr>
        <w:t xml:space="preserve">, </w:t>
      </w:r>
      <w:r w:rsidR="00C34787" w:rsidRPr="00EE6F8D">
        <w:rPr>
          <w:szCs w:val="24"/>
        </w:rPr>
        <w:t xml:space="preserve">in </w:t>
      </w:r>
      <w:smartTag w:uri="urn:schemas-microsoft-com:office:smarttags" w:element="place">
        <w:smartTag w:uri="urn:schemas-microsoft-com:office:smarttags" w:element="PlaceName">
          <w:r w:rsidR="00C34787" w:rsidRPr="00EE6F8D">
            <w:rPr>
              <w:szCs w:val="24"/>
            </w:rPr>
            <w:t>Alameda</w:t>
          </w:r>
        </w:smartTag>
        <w:r w:rsidR="00C34787" w:rsidRPr="00EE6F8D">
          <w:rPr>
            <w:szCs w:val="24"/>
          </w:rPr>
          <w:t xml:space="preserve"> </w:t>
        </w:r>
        <w:smartTag w:uri="urn:schemas-microsoft-com:office:smarttags" w:element="PlaceType">
          <w:r w:rsidR="00C34787" w:rsidRPr="00EE6F8D">
            <w:rPr>
              <w:szCs w:val="24"/>
            </w:rPr>
            <w:t>County</w:t>
          </w:r>
        </w:smartTag>
      </w:smartTag>
      <w:r w:rsidR="00C34787" w:rsidRPr="00EE6F8D">
        <w:rPr>
          <w:szCs w:val="24"/>
        </w:rPr>
        <w:t xml:space="preserve">, </w:t>
      </w:r>
      <w:r w:rsidR="004E5F7F" w:rsidRPr="00EE6F8D">
        <w:rPr>
          <w:szCs w:val="24"/>
        </w:rPr>
        <w:t>Spanish-speaking</w:t>
      </w:r>
      <w:r w:rsidR="00194CEC" w:rsidRPr="00EE6F8D">
        <w:rPr>
          <w:szCs w:val="24"/>
        </w:rPr>
        <w:t xml:space="preserve"> LEP</w:t>
      </w:r>
      <w:r w:rsidR="004E5F7F" w:rsidRPr="00EE6F8D">
        <w:rPr>
          <w:szCs w:val="24"/>
        </w:rPr>
        <w:t xml:space="preserve"> individuals </w:t>
      </w:r>
      <w:r w:rsidR="00C34787" w:rsidRPr="00EE6F8D">
        <w:rPr>
          <w:szCs w:val="24"/>
        </w:rPr>
        <w:t>comp</w:t>
      </w:r>
      <w:r w:rsidR="004E5F7F" w:rsidRPr="00EE6F8D">
        <w:rPr>
          <w:szCs w:val="24"/>
        </w:rPr>
        <w:t>ri</w:t>
      </w:r>
      <w:r w:rsidR="00C34787" w:rsidRPr="00EE6F8D">
        <w:rPr>
          <w:szCs w:val="24"/>
        </w:rPr>
        <w:t xml:space="preserve">se </w:t>
      </w:r>
      <w:r w:rsidR="00BC7B1E" w:rsidRPr="00EE6F8D">
        <w:rPr>
          <w:b/>
          <w:szCs w:val="24"/>
        </w:rPr>
        <w:t>8.2%</w:t>
      </w:r>
      <w:r w:rsidR="00CC078F" w:rsidRPr="00EE6F8D">
        <w:rPr>
          <w:szCs w:val="24"/>
        </w:rPr>
        <w:t xml:space="preserve"> (113,735/1</w:t>
      </w:r>
      <w:r w:rsidR="00C34787" w:rsidRPr="00EE6F8D">
        <w:rPr>
          <w:szCs w:val="24"/>
        </w:rPr>
        <w:t>,</w:t>
      </w:r>
      <w:r w:rsidR="00CC078F" w:rsidRPr="00EE6F8D">
        <w:rPr>
          <w:szCs w:val="24"/>
        </w:rPr>
        <w:t>380</w:t>
      </w:r>
      <w:r w:rsidR="00C34787" w:rsidRPr="00EE6F8D">
        <w:rPr>
          <w:szCs w:val="24"/>
        </w:rPr>
        <w:t>,</w:t>
      </w:r>
      <w:r w:rsidR="00CC078F" w:rsidRPr="00EE6F8D">
        <w:rPr>
          <w:szCs w:val="24"/>
        </w:rPr>
        <w:t>045)</w:t>
      </w:r>
      <w:r w:rsidR="00BC7B1E" w:rsidRPr="00EE6F8D">
        <w:rPr>
          <w:szCs w:val="24"/>
        </w:rPr>
        <w:t xml:space="preserve"> of </w:t>
      </w:r>
      <w:r w:rsidR="00C34787" w:rsidRPr="00EE6F8D">
        <w:rPr>
          <w:szCs w:val="24"/>
        </w:rPr>
        <w:t>the total county.</w:t>
      </w:r>
    </w:p>
    <w:p w:rsidR="007B14B4" w:rsidRPr="00EE6F8D" w:rsidRDefault="007B14B4" w:rsidP="007B14B4">
      <w:pPr>
        <w:jc w:val="both"/>
        <w:rPr>
          <w:szCs w:val="24"/>
        </w:rPr>
      </w:pPr>
    </w:p>
    <w:tbl>
      <w:tblPr>
        <w:tblW w:w="8655" w:type="dxa"/>
        <w:tblInd w:w="93" w:type="dxa"/>
        <w:tblLook w:val="04A0"/>
      </w:tblPr>
      <w:tblGrid>
        <w:gridCol w:w="5055"/>
        <w:gridCol w:w="1980"/>
        <w:gridCol w:w="1620"/>
      </w:tblGrid>
      <w:tr w:rsidR="007B14B4" w:rsidRPr="00EE6F8D" w:rsidTr="0095297D">
        <w:trPr>
          <w:trHeight w:val="180"/>
        </w:trPr>
        <w:tc>
          <w:tcPr>
            <w:tcW w:w="5055"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7B14B4" w:rsidRPr="00EE6F8D" w:rsidRDefault="004A5237" w:rsidP="0095297D">
            <w:pPr>
              <w:jc w:val="center"/>
              <w:rPr>
                <w:b/>
                <w:bCs/>
                <w:color w:val="000000"/>
                <w:szCs w:val="24"/>
                <w:lang w:eastAsia="zh-CN"/>
              </w:rPr>
            </w:pPr>
            <w:r w:rsidRPr="00EE6F8D">
              <w:rPr>
                <w:b/>
                <w:bCs/>
                <w:color w:val="000000"/>
                <w:szCs w:val="24"/>
                <w:lang w:eastAsia="zh-CN"/>
              </w:rPr>
              <w:t>Language Spoken/ English Fluency based on Language Spoken</w:t>
            </w:r>
          </w:p>
        </w:tc>
        <w:tc>
          <w:tcPr>
            <w:tcW w:w="3600" w:type="dxa"/>
            <w:gridSpan w:val="2"/>
            <w:tcBorders>
              <w:top w:val="single" w:sz="4" w:space="0" w:color="000000"/>
              <w:left w:val="single" w:sz="4" w:space="0" w:color="auto"/>
              <w:bottom w:val="single" w:sz="4" w:space="0" w:color="000000"/>
              <w:right w:val="single" w:sz="4" w:space="0" w:color="000000"/>
            </w:tcBorders>
            <w:shd w:val="clear" w:color="auto" w:fill="FFFFFF"/>
          </w:tcPr>
          <w:p w:rsidR="007B14B4" w:rsidRPr="00EE6F8D" w:rsidRDefault="007B14B4" w:rsidP="0095297D">
            <w:pPr>
              <w:jc w:val="center"/>
              <w:rPr>
                <w:b/>
                <w:bCs/>
                <w:color w:val="000000"/>
                <w:szCs w:val="24"/>
                <w:lang w:eastAsia="zh-CN"/>
              </w:rPr>
            </w:pPr>
            <w:smartTag w:uri="urn:schemas-microsoft-com:office:smarttags" w:element="place">
              <w:smartTag w:uri="urn:schemas-microsoft-com:office:smarttags" w:element="City">
                <w:r w:rsidRPr="00EE6F8D">
                  <w:rPr>
                    <w:b/>
                    <w:bCs/>
                    <w:color w:val="000000"/>
                    <w:szCs w:val="24"/>
                    <w:lang w:eastAsia="zh-CN"/>
                  </w:rPr>
                  <w:t>Alameda County</w:t>
                </w:r>
              </w:smartTag>
              <w:r w:rsidRPr="00EE6F8D">
                <w:rPr>
                  <w:b/>
                  <w:bCs/>
                  <w:color w:val="000000"/>
                  <w:szCs w:val="24"/>
                  <w:lang w:eastAsia="zh-CN"/>
                </w:rPr>
                <w:t xml:space="preserve">, </w:t>
              </w:r>
              <w:smartTag w:uri="urn:schemas-microsoft-com:office:smarttags" w:element="State">
                <w:r w:rsidRPr="00EE6F8D">
                  <w:rPr>
                    <w:b/>
                    <w:bCs/>
                    <w:color w:val="000000"/>
                    <w:szCs w:val="24"/>
                    <w:lang w:eastAsia="zh-CN"/>
                  </w:rPr>
                  <w:t>California</w:t>
                </w:r>
              </w:smartTag>
            </w:smartTag>
          </w:p>
        </w:tc>
      </w:tr>
      <w:tr w:rsidR="007B14B4" w:rsidRPr="00EE6F8D" w:rsidTr="0095297D">
        <w:trPr>
          <w:trHeight w:val="180"/>
        </w:trPr>
        <w:tc>
          <w:tcPr>
            <w:tcW w:w="5055"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7B14B4" w:rsidRPr="00EE6F8D" w:rsidRDefault="007B14B4" w:rsidP="0095297D">
            <w:pPr>
              <w:rPr>
                <w:b/>
                <w:bCs/>
                <w:color w:val="000000"/>
                <w:szCs w:val="24"/>
                <w:lang w:eastAsia="zh-CN"/>
              </w:rPr>
            </w:pPr>
          </w:p>
        </w:tc>
        <w:tc>
          <w:tcPr>
            <w:tcW w:w="1980" w:type="dxa"/>
            <w:tcBorders>
              <w:top w:val="nil"/>
              <w:left w:val="single" w:sz="4" w:space="0" w:color="auto"/>
              <w:bottom w:val="single" w:sz="4" w:space="0" w:color="000000"/>
              <w:right w:val="single" w:sz="4" w:space="0" w:color="000000"/>
            </w:tcBorders>
            <w:shd w:val="clear" w:color="auto" w:fill="FFFFFF"/>
          </w:tcPr>
          <w:p w:rsidR="007B14B4" w:rsidRPr="00EE6F8D" w:rsidRDefault="007B14B4" w:rsidP="0095297D">
            <w:pPr>
              <w:jc w:val="center"/>
              <w:rPr>
                <w:b/>
                <w:bCs/>
                <w:color w:val="000000"/>
                <w:szCs w:val="24"/>
                <w:lang w:eastAsia="zh-CN"/>
              </w:rPr>
            </w:pPr>
            <w:r w:rsidRPr="00EE6F8D">
              <w:rPr>
                <w:b/>
                <w:bCs/>
                <w:color w:val="000000"/>
                <w:szCs w:val="24"/>
                <w:lang w:eastAsia="zh-CN"/>
              </w:rPr>
              <w:t>Estimate</w:t>
            </w:r>
            <w:r w:rsidR="004A5237" w:rsidRPr="00EE6F8D">
              <w:rPr>
                <w:b/>
                <w:bCs/>
                <w:color w:val="000000"/>
                <w:szCs w:val="24"/>
                <w:lang w:eastAsia="zh-CN"/>
              </w:rPr>
              <w:t>d Population</w:t>
            </w:r>
          </w:p>
        </w:tc>
        <w:tc>
          <w:tcPr>
            <w:tcW w:w="1620" w:type="dxa"/>
            <w:tcBorders>
              <w:top w:val="nil"/>
              <w:left w:val="nil"/>
              <w:bottom w:val="single" w:sz="4" w:space="0" w:color="000000"/>
              <w:right w:val="single" w:sz="4" w:space="0" w:color="000000"/>
            </w:tcBorders>
            <w:shd w:val="clear" w:color="auto" w:fill="FFFFFF"/>
          </w:tcPr>
          <w:p w:rsidR="007B14B4" w:rsidRPr="00EE6F8D" w:rsidRDefault="007B14B4" w:rsidP="0095297D">
            <w:pPr>
              <w:jc w:val="center"/>
              <w:rPr>
                <w:b/>
                <w:bCs/>
                <w:color w:val="000000"/>
                <w:szCs w:val="24"/>
                <w:lang w:eastAsia="zh-CN"/>
              </w:rPr>
            </w:pPr>
            <w:r w:rsidRPr="00EE6F8D">
              <w:rPr>
                <w:b/>
                <w:bCs/>
                <w:color w:val="000000"/>
                <w:szCs w:val="24"/>
                <w:lang w:eastAsia="zh-CN"/>
              </w:rPr>
              <w:t>%</w:t>
            </w:r>
            <w:r w:rsidR="004A5237" w:rsidRPr="00EE6F8D">
              <w:rPr>
                <w:b/>
                <w:bCs/>
                <w:color w:val="000000"/>
                <w:szCs w:val="24"/>
                <w:lang w:eastAsia="zh-CN"/>
              </w:rPr>
              <w:t xml:space="preserve"> of </w:t>
            </w:r>
            <w:smartTag w:uri="urn:schemas-microsoft-com:office:smarttags" w:element="place">
              <w:smartTag w:uri="urn:schemas-microsoft-com:office:smarttags" w:element="PlaceType">
                <w:r w:rsidR="004A5237" w:rsidRPr="00EE6F8D">
                  <w:rPr>
                    <w:b/>
                    <w:bCs/>
                    <w:color w:val="000000"/>
                    <w:szCs w:val="24"/>
                    <w:lang w:eastAsia="zh-CN"/>
                  </w:rPr>
                  <w:t>County</w:t>
                </w:r>
              </w:smartTag>
              <w:r w:rsidR="004A5237" w:rsidRPr="00EE6F8D">
                <w:rPr>
                  <w:b/>
                  <w:bCs/>
                  <w:color w:val="000000"/>
                  <w:szCs w:val="24"/>
                  <w:lang w:eastAsia="zh-CN"/>
                </w:rPr>
                <w:t xml:space="preserve"> </w:t>
              </w:r>
              <w:smartTag w:uri="urn:schemas-microsoft-com:office:smarttags" w:element="PlaceName">
                <w:r w:rsidR="004A5237" w:rsidRPr="00EE6F8D">
                  <w:rPr>
                    <w:b/>
                    <w:bCs/>
                    <w:color w:val="000000"/>
                    <w:szCs w:val="24"/>
                    <w:lang w:eastAsia="zh-CN"/>
                  </w:rPr>
                  <w:t>Population</w:t>
                </w:r>
              </w:smartTag>
            </w:smartTag>
          </w:p>
        </w:tc>
      </w:tr>
      <w:tr w:rsidR="007B14B4" w:rsidRPr="00EE6F8D" w:rsidTr="0095297D">
        <w:trPr>
          <w:trHeight w:val="180"/>
        </w:trPr>
        <w:tc>
          <w:tcPr>
            <w:tcW w:w="5055" w:type="dxa"/>
            <w:tcBorders>
              <w:top w:val="nil"/>
              <w:left w:val="single" w:sz="4" w:space="0" w:color="000000"/>
              <w:bottom w:val="single" w:sz="4" w:space="0" w:color="000000"/>
              <w:right w:val="single" w:sz="4" w:space="0" w:color="auto"/>
            </w:tcBorders>
            <w:shd w:val="clear" w:color="auto" w:fill="FFFFFF"/>
          </w:tcPr>
          <w:p w:rsidR="007B14B4" w:rsidRPr="00EE6F8D" w:rsidRDefault="007B14B4" w:rsidP="0095297D">
            <w:pPr>
              <w:jc w:val="center"/>
              <w:rPr>
                <w:b/>
                <w:bCs/>
                <w:color w:val="000000"/>
                <w:szCs w:val="24"/>
                <w:lang w:eastAsia="zh-CN"/>
              </w:rPr>
            </w:pPr>
            <w:r w:rsidRPr="00EE6F8D">
              <w:rPr>
                <w:b/>
                <w:bCs/>
                <w:color w:val="000000"/>
                <w:szCs w:val="24"/>
                <w:lang w:eastAsia="zh-CN"/>
              </w:rPr>
              <w:t>Total:</w:t>
            </w:r>
          </w:p>
        </w:tc>
        <w:tc>
          <w:tcPr>
            <w:tcW w:w="1980" w:type="dxa"/>
            <w:tcBorders>
              <w:top w:val="nil"/>
              <w:left w:val="single" w:sz="4" w:space="0" w:color="auto"/>
              <w:bottom w:val="single" w:sz="4" w:space="0" w:color="000000"/>
              <w:right w:val="single" w:sz="4" w:space="0" w:color="000000"/>
            </w:tcBorders>
            <w:shd w:val="clear" w:color="auto" w:fill="FFFFFF"/>
          </w:tcPr>
          <w:p w:rsidR="007B14B4" w:rsidRPr="00EE6F8D" w:rsidRDefault="007B14B4" w:rsidP="0095297D">
            <w:pPr>
              <w:jc w:val="center"/>
              <w:rPr>
                <w:color w:val="000000"/>
                <w:szCs w:val="24"/>
                <w:lang w:eastAsia="zh-CN"/>
              </w:rPr>
            </w:pPr>
            <w:r w:rsidRPr="00EE6F8D">
              <w:rPr>
                <w:color w:val="000000"/>
                <w:szCs w:val="24"/>
                <w:lang w:eastAsia="zh-CN"/>
              </w:rPr>
              <w:t>1,380,045</w:t>
            </w:r>
          </w:p>
        </w:tc>
        <w:tc>
          <w:tcPr>
            <w:tcW w:w="1620" w:type="dxa"/>
            <w:tcBorders>
              <w:top w:val="nil"/>
              <w:left w:val="nil"/>
              <w:bottom w:val="single" w:sz="4" w:space="0" w:color="000000"/>
              <w:right w:val="single" w:sz="4" w:space="0" w:color="000000"/>
            </w:tcBorders>
            <w:shd w:val="clear" w:color="auto" w:fill="FFFFFF"/>
          </w:tcPr>
          <w:p w:rsidR="007B14B4" w:rsidRPr="00EE6F8D" w:rsidRDefault="007B14B4" w:rsidP="0095297D">
            <w:pPr>
              <w:jc w:val="center"/>
              <w:rPr>
                <w:color w:val="000000"/>
                <w:szCs w:val="24"/>
                <w:lang w:eastAsia="zh-CN"/>
              </w:rPr>
            </w:pPr>
          </w:p>
        </w:tc>
      </w:tr>
      <w:tr w:rsidR="007B14B4" w:rsidRPr="00EE6F8D" w:rsidTr="0095297D">
        <w:trPr>
          <w:trHeight w:val="180"/>
        </w:trPr>
        <w:tc>
          <w:tcPr>
            <w:tcW w:w="5055" w:type="dxa"/>
            <w:tcBorders>
              <w:top w:val="nil"/>
              <w:left w:val="single" w:sz="4" w:space="0" w:color="000000"/>
              <w:bottom w:val="single" w:sz="4" w:space="0" w:color="000000"/>
              <w:right w:val="single" w:sz="4" w:space="0" w:color="auto"/>
            </w:tcBorders>
            <w:shd w:val="clear" w:color="auto" w:fill="FFFFFF"/>
          </w:tcPr>
          <w:p w:rsidR="007B14B4" w:rsidRPr="00EE6F8D" w:rsidRDefault="007B14B4" w:rsidP="0095297D">
            <w:pPr>
              <w:jc w:val="center"/>
              <w:rPr>
                <w:b/>
                <w:bCs/>
                <w:color w:val="000000"/>
                <w:szCs w:val="24"/>
                <w:lang w:eastAsia="zh-CN"/>
              </w:rPr>
            </w:pPr>
            <w:r w:rsidRPr="00EE6F8D">
              <w:rPr>
                <w:b/>
                <w:bCs/>
                <w:color w:val="000000"/>
                <w:szCs w:val="24"/>
                <w:lang w:eastAsia="zh-CN"/>
              </w:rPr>
              <w:t xml:space="preserve">  Spanish or Spanish Creole:</w:t>
            </w:r>
          </w:p>
        </w:tc>
        <w:tc>
          <w:tcPr>
            <w:tcW w:w="1980" w:type="dxa"/>
            <w:tcBorders>
              <w:top w:val="nil"/>
              <w:left w:val="single" w:sz="4" w:space="0" w:color="auto"/>
              <w:bottom w:val="single" w:sz="4" w:space="0" w:color="000000"/>
              <w:right w:val="single" w:sz="4" w:space="0" w:color="000000"/>
            </w:tcBorders>
            <w:shd w:val="clear" w:color="auto" w:fill="FFFFFF"/>
          </w:tcPr>
          <w:p w:rsidR="007B14B4" w:rsidRPr="00EE6F8D" w:rsidRDefault="007B14B4" w:rsidP="0095297D">
            <w:pPr>
              <w:jc w:val="center"/>
              <w:rPr>
                <w:color w:val="000000"/>
                <w:szCs w:val="24"/>
                <w:lang w:eastAsia="zh-CN"/>
              </w:rPr>
            </w:pPr>
            <w:r w:rsidRPr="00EE6F8D">
              <w:rPr>
                <w:color w:val="000000"/>
                <w:szCs w:val="24"/>
                <w:lang w:eastAsia="zh-CN"/>
              </w:rPr>
              <w:t>231,556</w:t>
            </w:r>
          </w:p>
        </w:tc>
        <w:tc>
          <w:tcPr>
            <w:tcW w:w="1620" w:type="dxa"/>
            <w:tcBorders>
              <w:top w:val="nil"/>
              <w:left w:val="nil"/>
              <w:bottom w:val="single" w:sz="4" w:space="0" w:color="000000"/>
              <w:right w:val="single" w:sz="4" w:space="0" w:color="000000"/>
            </w:tcBorders>
            <w:shd w:val="clear" w:color="auto" w:fill="FFFFFF"/>
          </w:tcPr>
          <w:p w:rsidR="007B14B4" w:rsidRPr="00EE6F8D" w:rsidRDefault="007B14B4" w:rsidP="0095297D">
            <w:pPr>
              <w:jc w:val="center"/>
              <w:rPr>
                <w:color w:val="000000"/>
                <w:szCs w:val="24"/>
                <w:lang w:eastAsia="zh-CN"/>
              </w:rPr>
            </w:pPr>
            <w:r w:rsidRPr="00EE6F8D">
              <w:rPr>
                <w:color w:val="000000"/>
                <w:szCs w:val="24"/>
                <w:lang w:eastAsia="zh-CN"/>
              </w:rPr>
              <w:t>16.8%</w:t>
            </w:r>
          </w:p>
        </w:tc>
      </w:tr>
      <w:tr w:rsidR="007B14B4" w:rsidRPr="00C34787" w:rsidTr="0095297D">
        <w:trPr>
          <w:trHeight w:val="180"/>
        </w:trPr>
        <w:tc>
          <w:tcPr>
            <w:tcW w:w="5055" w:type="dxa"/>
            <w:tcBorders>
              <w:top w:val="nil"/>
              <w:left w:val="single" w:sz="4" w:space="0" w:color="000000"/>
              <w:bottom w:val="single" w:sz="4" w:space="0" w:color="000000"/>
              <w:right w:val="single" w:sz="4" w:space="0" w:color="auto"/>
            </w:tcBorders>
            <w:shd w:val="clear" w:color="auto" w:fill="FFFFFF"/>
          </w:tcPr>
          <w:p w:rsidR="007B14B4" w:rsidRPr="00EE6F8D" w:rsidRDefault="007B14B4" w:rsidP="008918C7">
            <w:pPr>
              <w:jc w:val="center"/>
              <w:rPr>
                <w:b/>
                <w:bCs/>
                <w:color w:val="000000"/>
                <w:szCs w:val="24"/>
                <w:lang w:eastAsia="zh-CN"/>
              </w:rPr>
            </w:pPr>
            <w:r w:rsidRPr="00EE6F8D">
              <w:rPr>
                <w:b/>
                <w:bCs/>
                <w:color w:val="000000"/>
                <w:szCs w:val="24"/>
                <w:lang w:eastAsia="zh-CN"/>
              </w:rPr>
              <w:t xml:space="preserve">    </w:t>
            </w:r>
            <w:r w:rsidR="001A4EE0">
              <w:rPr>
                <w:b/>
                <w:bCs/>
                <w:color w:val="000000"/>
                <w:szCs w:val="24"/>
                <w:lang w:eastAsia="zh-CN"/>
              </w:rPr>
              <w:t>LEP, Spanish or Spanish Creole</w:t>
            </w:r>
            <w:r w:rsidR="008918C7" w:rsidRPr="00EE6F8D">
              <w:rPr>
                <w:b/>
                <w:bCs/>
                <w:color w:val="000000"/>
                <w:szCs w:val="24"/>
                <w:lang w:eastAsia="zh-CN"/>
              </w:rPr>
              <w:t>:</w:t>
            </w:r>
          </w:p>
        </w:tc>
        <w:tc>
          <w:tcPr>
            <w:tcW w:w="1980" w:type="dxa"/>
            <w:tcBorders>
              <w:top w:val="nil"/>
              <w:left w:val="single" w:sz="4" w:space="0" w:color="auto"/>
              <w:bottom w:val="single" w:sz="4" w:space="0" w:color="000000"/>
              <w:right w:val="single" w:sz="4" w:space="0" w:color="000000"/>
            </w:tcBorders>
            <w:shd w:val="clear" w:color="auto" w:fill="FFFFFF"/>
          </w:tcPr>
          <w:p w:rsidR="007B14B4" w:rsidRPr="00EE6F8D" w:rsidRDefault="007B14B4" w:rsidP="0095297D">
            <w:pPr>
              <w:jc w:val="center"/>
              <w:rPr>
                <w:color w:val="000000"/>
                <w:szCs w:val="24"/>
                <w:lang w:eastAsia="zh-CN"/>
              </w:rPr>
            </w:pPr>
            <w:r w:rsidRPr="00EE6F8D">
              <w:rPr>
                <w:color w:val="000000"/>
                <w:szCs w:val="24"/>
                <w:lang w:eastAsia="zh-CN"/>
              </w:rPr>
              <w:t>113,735</w:t>
            </w:r>
          </w:p>
        </w:tc>
        <w:tc>
          <w:tcPr>
            <w:tcW w:w="1620" w:type="dxa"/>
            <w:tcBorders>
              <w:top w:val="nil"/>
              <w:left w:val="nil"/>
              <w:bottom w:val="single" w:sz="4" w:space="0" w:color="000000"/>
              <w:right w:val="single" w:sz="4" w:space="0" w:color="000000"/>
            </w:tcBorders>
            <w:shd w:val="clear" w:color="auto" w:fill="FFFFFF"/>
          </w:tcPr>
          <w:p w:rsidR="007B14B4" w:rsidRPr="008918C7" w:rsidRDefault="007B14B4" w:rsidP="0095297D">
            <w:pPr>
              <w:jc w:val="center"/>
              <w:rPr>
                <w:b/>
                <w:color w:val="000000"/>
                <w:szCs w:val="24"/>
                <w:lang w:eastAsia="zh-CN"/>
              </w:rPr>
            </w:pPr>
            <w:r w:rsidRPr="00EE6F8D">
              <w:rPr>
                <w:b/>
                <w:color w:val="000000"/>
                <w:szCs w:val="24"/>
                <w:lang w:eastAsia="zh-CN"/>
              </w:rPr>
              <w:t>8.2%</w:t>
            </w:r>
          </w:p>
        </w:tc>
      </w:tr>
    </w:tbl>
    <w:p w:rsidR="007B14B4" w:rsidRPr="0064311D" w:rsidRDefault="007B14B4" w:rsidP="00990EBA">
      <w:pPr>
        <w:jc w:val="both"/>
        <w:rPr>
          <w:szCs w:val="24"/>
        </w:rPr>
      </w:pPr>
    </w:p>
    <w:p w:rsidR="004E5F7F" w:rsidRPr="00EE6F8D" w:rsidRDefault="009874C4" w:rsidP="004E5F7F">
      <w:pPr>
        <w:jc w:val="both"/>
        <w:rPr>
          <w:szCs w:val="24"/>
        </w:rPr>
      </w:pPr>
      <w:r w:rsidRPr="0064311D">
        <w:rPr>
          <w:b/>
          <w:bCs/>
          <w:szCs w:val="24"/>
        </w:rPr>
        <w:t xml:space="preserve">Appendix B: </w:t>
      </w:r>
      <w:r w:rsidR="004A5237">
        <w:rPr>
          <w:b/>
          <w:bCs/>
          <w:szCs w:val="24"/>
        </w:rPr>
        <w:t>L</w:t>
      </w:r>
      <w:r w:rsidRPr="0064311D">
        <w:rPr>
          <w:b/>
          <w:bCs/>
          <w:szCs w:val="24"/>
        </w:rPr>
        <w:t>imited English Proficiency</w:t>
      </w:r>
      <w:r w:rsidR="004A5237">
        <w:rPr>
          <w:b/>
          <w:bCs/>
          <w:szCs w:val="24"/>
        </w:rPr>
        <w:t xml:space="preserve"> by Language Spoken</w:t>
      </w:r>
      <w:r w:rsidR="00C06354" w:rsidRPr="0064311D">
        <w:rPr>
          <w:szCs w:val="24"/>
        </w:rPr>
        <w:t xml:space="preserve"> </w:t>
      </w:r>
      <w:r w:rsidR="008918C7">
        <w:rPr>
          <w:szCs w:val="24"/>
        </w:rPr>
        <w:t>also</w:t>
      </w:r>
      <w:r w:rsidR="00DB3418" w:rsidRPr="0064311D">
        <w:rPr>
          <w:szCs w:val="24"/>
        </w:rPr>
        <w:t xml:space="preserve"> </w:t>
      </w:r>
      <w:r w:rsidR="000009C5" w:rsidRPr="0064311D">
        <w:rPr>
          <w:szCs w:val="24"/>
        </w:rPr>
        <w:t xml:space="preserve">lists the estimated numbers of residents who speak a particular language as a percentage of each </w:t>
      </w:r>
      <w:r w:rsidR="000009C5" w:rsidRPr="00EE6F8D">
        <w:rPr>
          <w:szCs w:val="24"/>
        </w:rPr>
        <w:t xml:space="preserve">county’s </w:t>
      </w:r>
      <w:r w:rsidR="008918C7" w:rsidRPr="00EE6F8D">
        <w:rPr>
          <w:szCs w:val="24"/>
        </w:rPr>
        <w:t xml:space="preserve">population. In addition, it includes the number of LEP individuals, expressed as </w:t>
      </w:r>
      <w:r w:rsidR="008918C7" w:rsidRPr="00EE6F8D">
        <w:rPr>
          <w:szCs w:val="24"/>
        </w:rPr>
        <w:lastRenderedPageBreak/>
        <w:t xml:space="preserve">a percentage of </w:t>
      </w:r>
      <w:r w:rsidR="008918C7" w:rsidRPr="00EE6F8D">
        <w:rPr>
          <w:i/>
          <w:szCs w:val="24"/>
        </w:rPr>
        <w:t>the population speaking that language</w:t>
      </w:r>
      <w:r w:rsidR="008918C7" w:rsidRPr="00EE6F8D">
        <w:rPr>
          <w:szCs w:val="24"/>
        </w:rPr>
        <w:t>.</w:t>
      </w:r>
      <w:r w:rsidR="00EF67C7" w:rsidRPr="00EE6F8D">
        <w:rPr>
          <w:szCs w:val="24"/>
        </w:rPr>
        <w:t xml:space="preserve"> </w:t>
      </w:r>
      <w:r w:rsidR="00C06354" w:rsidRPr="00EE6F8D">
        <w:rPr>
          <w:b/>
          <w:bCs/>
          <w:szCs w:val="24"/>
        </w:rPr>
        <w:t>For example</w:t>
      </w:r>
      <w:r w:rsidR="00C06354" w:rsidRPr="00EE6F8D">
        <w:rPr>
          <w:szCs w:val="24"/>
        </w:rPr>
        <w:t xml:space="preserve">, </w:t>
      </w:r>
      <w:r w:rsidR="00DF0CFE" w:rsidRPr="00EE6F8D">
        <w:rPr>
          <w:szCs w:val="24"/>
        </w:rPr>
        <w:t xml:space="preserve">in </w:t>
      </w:r>
      <w:smartTag w:uri="urn:schemas-microsoft-com:office:smarttags" w:element="place">
        <w:smartTag w:uri="urn:schemas-microsoft-com:office:smarttags" w:element="PlaceName">
          <w:r w:rsidR="00DF0CFE" w:rsidRPr="00EE6F8D">
            <w:rPr>
              <w:szCs w:val="24"/>
            </w:rPr>
            <w:t>Alameda</w:t>
          </w:r>
        </w:smartTag>
        <w:r w:rsidR="00DF0CFE" w:rsidRPr="00EE6F8D">
          <w:rPr>
            <w:szCs w:val="24"/>
          </w:rPr>
          <w:t xml:space="preserve"> </w:t>
        </w:r>
        <w:smartTag w:uri="urn:schemas-microsoft-com:office:smarttags" w:element="PlaceType">
          <w:r w:rsidR="00DF0CFE" w:rsidRPr="00EE6F8D">
            <w:rPr>
              <w:szCs w:val="24"/>
            </w:rPr>
            <w:t>County</w:t>
          </w:r>
        </w:smartTag>
      </w:smartTag>
      <w:r w:rsidR="00DF0CFE" w:rsidRPr="00EE6F8D">
        <w:rPr>
          <w:szCs w:val="24"/>
        </w:rPr>
        <w:t xml:space="preserve">, </w:t>
      </w:r>
      <w:r w:rsidR="004E5F7F" w:rsidRPr="00EE6F8D">
        <w:rPr>
          <w:b/>
          <w:bCs/>
          <w:szCs w:val="24"/>
        </w:rPr>
        <w:t>49.1%</w:t>
      </w:r>
      <w:r w:rsidR="004E5F7F" w:rsidRPr="00EE6F8D">
        <w:rPr>
          <w:szCs w:val="24"/>
        </w:rPr>
        <w:t> (113,735 /231,556) of those who speak Spanish are LEP.</w:t>
      </w:r>
    </w:p>
    <w:p w:rsidR="007B14B4" w:rsidRPr="00EE6F8D" w:rsidRDefault="007B14B4" w:rsidP="007B14B4">
      <w:pPr>
        <w:jc w:val="both"/>
        <w:rPr>
          <w:szCs w:val="24"/>
        </w:rPr>
      </w:pPr>
    </w:p>
    <w:tbl>
      <w:tblPr>
        <w:tblW w:w="8670" w:type="dxa"/>
        <w:tblInd w:w="78" w:type="dxa"/>
        <w:tblLook w:val="04A0"/>
      </w:tblPr>
      <w:tblGrid>
        <w:gridCol w:w="15"/>
        <w:gridCol w:w="5055"/>
        <w:gridCol w:w="1980"/>
        <w:gridCol w:w="1620"/>
      </w:tblGrid>
      <w:tr w:rsidR="004A5237" w:rsidRPr="00EE6F8D" w:rsidTr="004A5237">
        <w:trPr>
          <w:gridBefore w:val="1"/>
          <w:wBefore w:w="15" w:type="dxa"/>
          <w:trHeight w:val="180"/>
        </w:trPr>
        <w:tc>
          <w:tcPr>
            <w:tcW w:w="5055"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4A5237" w:rsidRPr="00EE6F8D" w:rsidRDefault="004A5237" w:rsidP="00594D09">
            <w:pPr>
              <w:jc w:val="center"/>
              <w:rPr>
                <w:b/>
                <w:bCs/>
                <w:color w:val="000000"/>
                <w:szCs w:val="24"/>
                <w:lang w:eastAsia="zh-CN"/>
              </w:rPr>
            </w:pPr>
            <w:r w:rsidRPr="00EE6F8D">
              <w:rPr>
                <w:b/>
                <w:bCs/>
                <w:color w:val="000000"/>
                <w:szCs w:val="24"/>
                <w:lang w:eastAsia="zh-CN"/>
              </w:rPr>
              <w:t>Language Spoken/ English Fluency based on Language Spoken</w:t>
            </w:r>
          </w:p>
        </w:tc>
        <w:tc>
          <w:tcPr>
            <w:tcW w:w="3600" w:type="dxa"/>
            <w:gridSpan w:val="2"/>
            <w:tcBorders>
              <w:top w:val="single" w:sz="4" w:space="0" w:color="000000"/>
              <w:left w:val="single" w:sz="4" w:space="0" w:color="auto"/>
              <w:bottom w:val="single" w:sz="4" w:space="0" w:color="000000"/>
              <w:right w:val="single" w:sz="4" w:space="0" w:color="000000"/>
            </w:tcBorders>
            <w:shd w:val="clear" w:color="auto" w:fill="FFFFFF"/>
          </w:tcPr>
          <w:p w:rsidR="004A5237" w:rsidRPr="00EE6F8D" w:rsidRDefault="004A5237" w:rsidP="00594D09">
            <w:pPr>
              <w:jc w:val="center"/>
              <w:rPr>
                <w:b/>
                <w:bCs/>
                <w:color w:val="000000"/>
                <w:szCs w:val="24"/>
                <w:lang w:eastAsia="zh-CN"/>
              </w:rPr>
            </w:pPr>
            <w:smartTag w:uri="urn:schemas-microsoft-com:office:smarttags" w:element="place">
              <w:smartTag w:uri="urn:schemas-microsoft-com:office:smarttags" w:element="City">
                <w:r w:rsidRPr="00EE6F8D">
                  <w:rPr>
                    <w:b/>
                    <w:bCs/>
                    <w:color w:val="000000"/>
                    <w:szCs w:val="24"/>
                    <w:lang w:eastAsia="zh-CN"/>
                  </w:rPr>
                  <w:t>Alameda County</w:t>
                </w:r>
              </w:smartTag>
              <w:r w:rsidRPr="00EE6F8D">
                <w:rPr>
                  <w:b/>
                  <w:bCs/>
                  <w:color w:val="000000"/>
                  <w:szCs w:val="24"/>
                  <w:lang w:eastAsia="zh-CN"/>
                </w:rPr>
                <w:t xml:space="preserve">, </w:t>
              </w:r>
              <w:smartTag w:uri="urn:schemas-microsoft-com:office:smarttags" w:element="State">
                <w:r w:rsidRPr="00EE6F8D">
                  <w:rPr>
                    <w:b/>
                    <w:bCs/>
                    <w:color w:val="000000"/>
                    <w:szCs w:val="24"/>
                    <w:lang w:eastAsia="zh-CN"/>
                  </w:rPr>
                  <w:t>California</w:t>
                </w:r>
              </w:smartTag>
            </w:smartTag>
          </w:p>
        </w:tc>
      </w:tr>
      <w:tr w:rsidR="004A5237" w:rsidRPr="00EE6F8D" w:rsidTr="004A5237">
        <w:trPr>
          <w:gridBefore w:val="1"/>
          <w:wBefore w:w="15" w:type="dxa"/>
          <w:trHeight w:val="180"/>
        </w:trPr>
        <w:tc>
          <w:tcPr>
            <w:tcW w:w="5055"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4A5237" w:rsidRPr="00EE6F8D" w:rsidRDefault="004A5237" w:rsidP="00594D09">
            <w:pPr>
              <w:rPr>
                <w:b/>
                <w:bCs/>
                <w:color w:val="000000"/>
                <w:szCs w:val="24"/>
                <w:lang w:eastAsia="zh-CN"/>
              </w:rPr>
            </w:pPr>
          </w:p>
        </w:tc>
        <w:tc>
          <w:tcPr>
            <w:tcW w:w="1980" w:type="dxa"/>
            <w:tcBorders>
              <w:top w:val="nil"/>
              <w:left w:val="single" w:sz="4" w:space="0" w:color="auto"/>
              <w:bottom w:val="single" w:sz="4" w:space="0" w:color="000000"/>
              <w:right w:val="single" w:sz="4" w:space="0" w:color="000000"/>
            </w:tcBorders>
            <w:shd w:val="clear" w:color="auto" w:fill="FFFFFF"/>
          </w:tcPr>
          <w:p w:rsidR="004A5237" w:rsidRPr="00EE6F8D" w:rsidRDefault="004A5237" w:rsidP="00594D09">
            <w:pPr>
              <w:jc w:val="center"/>
              <w:rPr>
                <w:b/>
                <w:bCs/>
                <w:color w:val="000000"/>
                <w:szCs w:val="24"/>
                <w:lang w:eastAsia="zh-CN"/>
              </w:rPr>
            </w:pPr>
            <w:r w:rsidRPr="00EE6F8D">
              <w:rPr>
                <w:b/>
                <w:bCs/>
                <w:color w:val="000000"/>
                <w:szCs w:val="24"/>
                <w:lang w:eastAsia="zh-CN"/>
              </w:rPr>
              <w:t>Estimated Population</w:t>
            </w:r>
          </w:p>
        </w:tc>
        <w:tc>
          <w:tcPr>
            <w:tcW w:w="1620" w:type="dxa"/>
            <w:tcBorders>
              <w:top w:val="nil"/>
              <w:left w:val="nil"/>
              <w:bottom w:val="single" w:sz="4" w:space="0" w:color="000000"/>
              <w:right w:val="single" w:sz="4" w:space="0" w:color="000000"/>
            </w:tcBorders>
            <w:shd w:val="clear" w:color="auto" w:fill="FFFFFF"/>
          </w:tcPr>
          <w:p w:rsidR="004A5237" w:rsidRPr="00EE6F8D" w:rsidRDefault="004A5237" w:rsidP="00115EBF">
            <w:pPr>
              <w:jc w:val="center"/>
              <w:rPr>
                <w:b/>
                <w:bCs/>
                <w:color w:val="000000"/>
                <w:szCs w:val="24"/>
                <w:lang w:eastAsia="zh-CN"/>
              </w:rPr>
            </w:pPr>
            <w:r w:rsidRPr="00EE6F8D">
              <w:rPr>
                <w:b/>
                <w:bCs/>
                <w:color w:val="000000"/>
                <w:szCs w:val="24"/>
                <w:lang w:eastAsia="zh-CN"/>
              </w:rPr>
              <w:t xml:space="preserve">% of Language </w:t>
            </w:r>
            <w:r w:rsidR="00115EBF" w:rsidRPr="00EE6F8D">
              <w:rPr>
                <w:b/>
                <w:bCs/>
                <w:color w:val="000000"/>
                <w:szCs w:val="24"/>
                <w:lang w:eastAsia="zh-CN"/>
              </w:rPr>
              <w:t>Spoken</w:t>
            </w:r>
          </w:p>
        </w:tc>
      </w:tr>
      <w:tr w:rsidR="004A5237" w:rsidRPr="00EE6F8D" w:rsidTr="004A5237">
        <w:trPr>
          <w:gridBefore w:val="1"/>
          <w:wBefore w:w="15" w:type="dxa"/>
          <w:trHeight w:val="180"/>
        </w:trPr>
        <w:tc>
          <w:tcPr>
            <w:tcW w:w="5055" w:type="dxa"/>
            <w:tcBorders>
              <w:top w:val="nil"/>
              <w:left w:val="single" w:sz="4" w:space="0" w:color="000000"/>
              <w:bottom w:val="single" w:sz="4" w:space="0" w:color="000000"/>
              <w:right w:val="single" w:sz="4" w:space="0" w:color="auto"/>
            </w:tcBorders>
            <w:shd w:val="clear" w:color="auto" w:fill="FFFFFF"/>
          </w:tcPr>
          <w:p w:rsidR="004A5237" w:rsidRPr="00EE6F8D" w:rsidRDefault="004A5237" w:rsidP="00594D09">
            <w:pPr>
              <w:jc w:val="center"/>
              <w:rPr>
                <w:b/>
                <w:bCs/>
                <w:color w:val="000000"/>
                <w:szCs w:val="24"/>
                <w:lang w:eastAsia="zh-CN"/>
              </w:rPr>
            </w:pPr>
            <w:r w:rsidRPr="00EE6F8D">
              <w:rPr>
                <w:b/>
                <w:bCs/>
                <w:color w:val="000000"/>
                <w:szCs w:val="24"/>
                <w:lang w:eastAsia="zh-CN"/>
              </w:rPr>
              <w:t>Total:</w:t>
            </w:r>
          </w:p>
        </w:tc>
        <w:tc>
          <w:tcPr>
            <w:tcW w:w="1980" w:type="dxa"/>
            <w:tcBorders>
              <w:top w:val="nil"/>
              <w:left w:val="single" w:sz="4" w:space="0" w:color="auto"/>
              <w:bottom w:val="single" w:sz="4" w:space="0" w:color="000000"/>
              <w:right w:val="single" w:sz="4" w:space="0" w:color="000000"/>
            </w:tcBorders>
            <w:shd w:val="clear" w:color="auto" w:fill="FFFFFF"/>
          </w:tcPr>
          <w:p w:rsidR="004A5237" w:rsidRPr="00EE6F8D" w:rsidRDefault="004A5237" w:rsidP="00594D09">
            <w:pPr>
              <w:jc w:val="center"/>
              <w:rPr>
                <w:color w:val="000000"/>
                <w:szCs w:val="24"/>
                <w:lang w:eastAsia="zh-CN"/>
              </w:rPr>
            </w:pPr>
            <w:r w:rsidRPr="00EE6F8D">
              <w:rPr>
                <w:color w:val="000000"/>
                <w:szCs w:val="24"/>
                <w:lang w:eastAsia="zh-CN"/>
              </w:rPr>
              <w:t>1,380,045</w:t>
            </w:r>
          </w:p>
        </w:tc>
        <w:tc>
          <w:tcPr>
            <w:tcW w:w="1620" w:type="dxa"/>
            <w:tcBorders>
              <w:top w:val="nil"/>
              <w:left w:val="nil"/>
              <w:bottom w:val="single" w:sz="4" w:space="0" w:color="000000"/>
              <w:right w:val="single" w:sz="4" w:space="0" w:color="000000"/>
            </w:tcBorders>
            <w:shd w:val="clear" w:color="auto" w:fill="FFFFFF"/>
          </w:tcPr>
          <w:p w:rsidR="004A5237" w:rsidRPr="00EE6F8D" w:rsidRDefault="004A5237" w:rsidP="00594D09">
            <w:pPr>
              <w:jc w:val="center"/>
              <w:rPr>
                <w:color w:val="000000"/>
                <w:szCs w:val="24"/>
                <w:lang w:eastAsia="zh-CN"/>
              </w:rPr>
            </w:pPr>
          </w:p>
        </w:tc>
      </w:tr>
      <w:tr w:rsidR="007B14B4" w:rsidRPr="00EE6F8D" w:rsidTr="004A5237">
        <w:tblPrEx>
          <w:tblCellMar>
            <w:left w:w="30" w:type="dxa"/>
            <w:right w:w="30" w:type="dxa"/>
          </w:tblCellMar>
          <w:tblLook w:val="0000"/>
        </w:tblPrEx>
        <w:trPr>
          <w:trHeight w:val="163"/>
        </w:trPr>
        <w:tc>
          <w:tcPr>
            <w:tcW w:w="5070" w:type="dxa"/>
            <w:gridSpan w:val="2"/>
            <w:tcBorders>
              <w:top w:val="single" w:sz="6" w:space="0" w:color="auto"/>
              <w:left w:val="single" w:sz="6" w:space="0" w:color="auto"/>
              <w:bottom w:val="single" w:sz="6" w:space="0" w:color="auto"/>
              <w:right w:val="single" w:sz="6" w:space="0" w:color="auto"/>
            </w:tcBorders>
            <w:shd w:val="clear" w:color="auto" w:fill="FFFFFF"/>
          </w:tcPr>
          <w:p w:rsidR="007B14B4" w:rsidRPr="00EE6F8D" w:rsidRDefault="007B14B4" w:rsidP="0095297D">
            <w:pPr>
              <w:jc w:val="center"/>
              <w:rPr>
                <w:b/>
                <w:bCs/>
                <w:szCs w:val="24"/>
              </w:rPr>
            </w:pPr>
            <w:r w:rsidRPr="00EE6F8D">
              <w:rPr>
                <w:b/>
                <w:bCs/>
                <w:szCs w:val="24"/>
              </w:rPr>
              <w:t>Spanish or Spanish Creole:</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B14B4" w:rsidRPr="00EE6F8D" w:rsidRDefault="007B14B4" w:rsidP="0095297D">
            <w:pPr>
              <w:jc w:val="center"/>
              <w:rPr>
                <w:szCs w:val="24"/>
              </w:rPr>
            </w:pPr>
            <w:r w:rsidRPr="00EE6F8D">
              <w:rPr>
                <w:szCs w:val="24"/>
              </w:rPr>
              <w:t>231,556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B14B4" w:rsidRPr="00EE6F8D" w:rsidRDefault="007B14B4" w:rsidP="0095297D">
            <w:pPr>
              <w:jc w:val="center"/>
              <w:rPr>
                <w:szCs w:val="24"/>
              </w:rPr>
            </w:pPr>
            <w:r w:rsidRPr="00EE6F8D">
              <w:rPr>
                <w:szCs w:val="24"/>
              </w:rPr>
              <w:t>16.8%</w:t>
            </w:r>
          </w:p>
        </w:tc>
      </w:tr>
      <w:tr w:rsidR="007B14B4" w:rsidRPr="00EE6F8D" w:rsidTr="004A5237">
        <w:tblPrEx>
          <w:tblCellMar>
            <w:left w:w="30" w:type="dxa"/>
            <w:right w:w="30" w:type="dxa"/>
          </w:tblCellMar>
          <w:tblLook w:val="0000"/>
        </w:tblPrEx>
        <w:trPr>
          <w:trHeight w:val="163"/>
        </w:trPr>
        <w:tc>
          <w:tcPr>
            <w:tcW w:w="5070" w:type="dxa"/>
            <w:gridSpan w:val="2"/>
            <w:tcBorders>
              <w:top w:val="single" w:sz="6" w:space="0" w:color="auto"/>
              <w:left w:val="single" w:sz="6" w:space="0" w:color="auto"/>
              <w:bottom w:val="single" w:sz="6" w:space="0" w:color="auto"/>
              <w:right w:val="single" w:sz="6" w:space="0" w:color="auto"/>
            </w:tcBorders>
            <w:shd w:val="clear" w:color="auto" w:fill="FFFFFF"/>
          </w:tcPr>
          <w:p w:rsidR="007B14B4" w:rsidRPr="00EE6F8D" w:rsidRDefault="001A4EE0" w:rsidP="0095297D">
            <w:pPr>
              <w:jc w:val="center"/>
              <w:rPr>
                <w:b/>
                <w:bCs/>
                <w:szCs w:val="24"/>
              </w:rPr>
            </w:pPr>
            <w:r>
              <w:rPr>
                <w:b/>
                <w:bCs/>
                <w:color w:val="000000"/>
                <w:szCs w:val="24"/>
                <w:lang w:eastAsia="zh-CN"/>
              </w:rPr>
              <w:t>LEP, Spanish or Spanish Creole</w:t>
            </w:r>
            <w:r w:rsidR="00A54172" w:rsidRPr="00EE6F8D">
              <w:rPr>
                <w:b/>
                <w:bCs/>
                <w:color w:val="000000"/>
                <w:szCs w:val="24"/>
                <w:lang w:eastAsia="zh-CN"/>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B14B4" w:rsidRPr="00EE6F8D" w:rsidRDefault="007B14B4" w:rsidP="0095297D">
            <w:pPr>
              <w:jc w:val="center"/>
              <w:rPr>
                <w:szCs w:val="24"/>
              </w:rPr>
            </w:pPr>
            <w:r w:rsidRPr="00EE6F8D">
              <w:rPr>
                <w:szCs w:val="24"/>
              </w:rPr>
              <w:t>113,735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B14B4" w:rsidRPr="00EE6F8D" w:rsidRDefault="007B14B4" w:rsidP="0095297D">
            <w:pPr>
              <w:jc w:val="center"/>
              <w:rPr>
                <w:b/>
                <w:szCs w:val="24"/>
              </w:rPr>
            </w:pPr>
            <w:r w:rsidRPr="00EE6F8D">
              <w:rPr>
                <w:b/>
                <w:szCs w:val="24"/>
              </w:rPr>
              <w:t>49.1%</w:t>
            </w:r>
          </w:p>
        </w:tc>
      </w:tr>
    </w:tbl>
    <w:p w:rsidR="007C4C40" w:rsidRPr="00EE6F8D" w:rsidRDefault="007C4C40" w:rsidP="007C4C40">
      <w:pPr>
        <w:jc w:val="both"/>
        <w:rPr>
          <w:szCs w:val="24"/>
        </w:rPr>
      </w:pPr>
    </w:p>
    <w:p w:rsidR="009A1D44" w:rsidRPr="0064311D" w:rsidRDefault="006773E4" w:rsidP="00990EBA">
      <w:pPr>
        <w:jc w:val="both"/>
        <w:rPr>
          <w:szCs w:val="24"/>
        </w:rPr>
      </w:pPr>
      <w:r w:rsidRPr="00EE6F8D">
        <w:rPr>
          <w:b/>
          <w:bCs/>
          <w:szCs w:val="24"/>
        </w:rPr>
        <w:t xml:space="preserve">Appendix </w:t>
      </w:r>
      <w:r w:rsidR="00DB3418" w:rsidRPr="00EE6F8D">
        <w:rPr>
          <w:b/>
          <w:bCs/>
          <w:szCs w:val="24"/>
        </w:rPr>
        <w:t>C</w:t>
      </w:r>
      <w:r w:rsidR="00DF7492" w:rsidRPr="00EE6F8D">
        <w:rPr>
          <w:b/>
          <w:bCs/>
          <w:szCs w:val="24"/>
        </w:rPr>
        <w:t xml:space="preserve">: </w:t>
      </w:r>
      <w:r w:rsidR="00DB3418" w:rsidRPr="00EE6F8D">
        <w:rPr>
          <w:b/>
          <w:bCs/>
          <w:szCs w:val="24"/>
        </w:rPr>
        <w:t>Threshold Language by County</w:t>
      </w:r>
      <w:r w:rsidR="009A1D44" w:rsidRPr="00EE6F8D">
        <w:rPr>
          <w:szCs w:val="24"/>
        </w:rPr>
        <w:t xml:space="preserve"> lists the 58 counties and the threshold languages spoken in each county.  Spanish is a threshold language for 43 counties while</w:t>
      </w:r>
      <w:r w:rsidR="009A1D44" w:rsidRPr="0064311D">
        <w:rPr>
          <w:szCs w:val="24"/>
        </w:rPr>
        <w:t xml:space="preserve"> Chinese is a threshold language for 13 </w:t>
      </w:r>
      <w:r w:rsidR="00C36837" w:rsidRPr="0064311D">
        <w:rPr>
          <w:szCs w:val="24"/>
        </w:rPr>
        <w:t>counties</w:t>
      </w:r>
      <w:r w:rsidR="009A1D44" w:rsidRPr="0064311D">
        <w:rPr>
          <w:szCs w:val="24"/>
        </w:rPr>
        <w:t xml:space="preserve">.  </w:t>
      </w:r>
      <w:r w:rsidR="00F949A7" w:rsidRPr="0064311D">
        <w:rPr>
          <w:szCs w:val="24"/>
        </w:rPr>
        <w:t>Fourteen counties</w:t>
      </w:r>
      <w:r w:rsidR="007C4C40" w:rsidRPr="0064311D">
        <w:rPr>
          <w:szCs w:val="24"/>
        </w:rPr>
        <w:t xml:space="preserve"> (Alpine, Amador, </w:t>
      </w:r>
      <w:smartTag w:uri="urn:schemas-microsoft-com:office:smarttags" w:element="City">
        <w:r w:rsidR="007C4C40" w:rsidRPr="0064311D">
          <w:rPr>
            <w:szCs w:val="24"/>
          </w:rPr>
          <w:t>Calaveras</w:t>
        </w:r>
      </w:smartTag>
      <w:r w:rsidR="007C4C40" w:rsidRPr="0064311D">
        <w:rPr>
          <w:szCs w:val="24"/>
        </w:rPr>
        <w:t xml:space="preserve">, </w:t>
      </w:r>
      <w:smartTag w:uri="urn:schemas-microsoft-com:office:smarttags" w:element="State">
        <w:r w:rsidR="007C4C40" w:rsidRPr="0064311D">
          <w:rPr>
            <w:szCs w:val="24"/>
          </w:rPr>
          <w:t>Del</w:t>
        </w:r>
      </w:smartTag>
      <w:r w:rsidR="007C4C40" w:rsidRPr="0064311D">
        <w:rPr>
          <w:szCs w:val="24"/>
        </w:rPr>
        <w:t xml:space="preserve"> Norte, Humboldt, Lassen, </w:t>
      </w:r>
      <w:smartTag w:uri="urn:schemas-microsoft-com:office:smarttags" w:element="City">
        <w:r w:rsidR="007C4C40" w:rsidRPr="0064311D">
          <w:rPr>
            <w:szCs w:val="24"/>
          </w:rPr>
          <w:t>Mariposa</w:t>
        </w:r>
      </w:smartTag>
      <w:r w:rsidR="007C4C40" w:rsidRPr="0064311D">
        <w:rPr>
          <w:szCs w:val="24"/>
        </w:rPr>
        <w:t xml:space="preserve">, </w:t>
      </w:r>
      <w:smartTag w:uri="urn:schemas-microsoft-com:office:smarttags" w:element="State">
        <w:r w:rsidR="007C4C40" w:rsidRPr="0064311D">
          <w:rPr>
            <w:szCs w:val="24"/>
          </w:rPr>
          <w:t>Nevada</w:t>
        </w:r>
      </w:smartTag>
      <w:r w:rsidR="007C4C40" w:rsidRPr="0064311D">
        <w:rPr>
          <w:szCs w:val="24"/>
        </w:rPr>
        <w:t xml:space="preserve">, Plumas, Shasta, Sierra, Siskiyou, Trinity, and </w:t>
      </w:r>
      <w:smartTag w:uri="urn:schemas-microsoft-com:office:smarttags" w:element="place">
        <w:r w:rsidR="007C4C40" w:rsidRPr="0064311D">
          <w:rPr>
            <w:szCs w:val="24"/>
          </w:rPr>
          <w:t>Tuolumne</w:t>
        </w:r>
      </w:smartTag>
      <w:r w:rsidR="007C4C40" w:rsidRPr="0064311D">
        <w:rPr>
          <w:szCs w:val="24"/>
        </w:rPr>
        <w:t xml:space="preserve">) </w:t>
      </w:r>
      <w:r w:rsidR="00F949A7" w:rsidRPr="0064311D">
        <w:rPr>
          <w:szCs w:val="24"/>
        </w:rPr>
        <w:t xml:space="preserve">did not have any threshold languages. </w:t>
      </w:r>
      <w:smartTag w:uri="urn:schemas-microsoft-com:office:smarttags" w:element="place">
        <w:smartTag w:uri="urn:schemas-microsoft-com:office:smarttags" w:element="PlaceName">
          <w:r w:rsidR="00F949A7" w:rsidRPr="0064311D">
            <w:rPr>
              <w:szCs w:val="24"/>
            </w:rPr>
            <w:t>Los Angeles</w:t>
          </w:r>
        </w:smartTag>
        <w:r w:rsidR="00F949A7" w:rsidRPr="0064311D">
          <w:rPr>
            <w:szCs w:val="24"/>
          </w:rPr>
          <w:t xml:space="preserve"> </w:t>
        </w:r>
        <w:smartTag w:uri="urn:schemas-microsoft-com:office:smarttags" w:element="PlaceType">
          <w:r w:rsidR="00D7276F" w:rsidRPr="0064311D">
            <w:rPr>
              <w:szCs w:val="24"/>
            </w:rPr>
            <w:t>County</w:t>
          </w:r>
        </w:smartTag>
      </w:smartTag>
      <w:r w:rsidR="00C36837" w:rsidRPr="0064311D">
        <w:rPr>
          <w:szCs w:val="24"/>
        </w:rPr>
        <w:t>, which</w:t>
      </w:r>
      <w:r w:rsidR="00F949A7" w:rsidRPr="0064311D">
        <w:rPr>
          <w:szCs w:val="24"/>
        </w:rPr>
        <w:t xml:space="preserve"> has the largest total population, has </w:t>
      </w:r>
      <w:r w:rsidR="008918C7">
        <w:rPr>
          <w:szCs w:val="24"/>
        </w:rPr>
        <w:t xml:space="preserve">22 threshold languages, </w:t>
      </w:r>
      <w:r w:rsidR="00F949A7" w:rsidRPr="0064311D">
        <w:rPr>
          <w:szCs w:val="24"/>
        </w:rPr>
        <w:t xml:space="preserve">the highest number </w:t>
      </w:r>
      <w:r w:rsidR="00A54172">
        <w:rPr>
          <w:szCs w:val="24"/>
        </w:rPr>
        <w:t>in the state</w:t>
      </w:r>
      <w:r w:rsidR="00F949A7" w:rsidRPr="0064311D">
        <w:rPr>
          <w:szCs w:val="24"/>
        </w:rPr>
        <w:t>.</w:t>
      </w:r>
      <w:r w:rsidR="00022F2E" w:rsidRPr="0064311D">
        <w:rPr>
          <w:szCs w:val="24"/>
        </w:rPr>
        <w:t xml:space="preserve">  There </w:t>
      </w:r>
      <w:r w:rsidR="00A54172">
        <w:rPr>
          <w:szCs w:val="24"/>
        </w:rPr>
        <w:t>are</w:t>
      </w:r>
      <w:r w:rsidR="00022F2E" w:rsidRPr="0064311D">
        <w:rPr>
          <w:szCs w:val="24"/>
        </w:rPr>
        <w:t xml:space="preserve"> 25 threshold languages </w:t>
      </w:r>
      <w:r w:rsidR="00A54172">
        <w:rPr>
          <w:szCs w:val="24"/>
        </w:rPr>
        <w:t>among all</w:t>
      </w:r>
      <w:r w:rsidR="00A54172" w:rsidRPr="0064311D">
        <w:rPr>
          <w:szCs w:val="24"/>
        </w:rPr>
        <w:t xml:space="preserve"> </w:t>
      </w:r>
      <w:r w:rsidR="00022F2E" w:rsidRPr="0064311D">
        <w:rPr>
          <w:szCs w:val="24"/>
        </w:rPr>
        <w:t xml:space="preserve">the </w:t>
      </w:r>
      <w:smartTag w:uri="urn:schemas-microsoft-com:office:smarttags" w:element="place">
        <w:smartTag w:uri="urn:schemas-microsoft-com:office:smarttags" w:element="State">
          <w:r w:rsidR="00022F2E" w:rsidRPr="0064311D">
            <w:rPr>
              <w:szCs w:val="24"/>
            </w:rPr>
            <w:t>California</w:t>
          </w:r>
        </w:smartTag>
      </w:smartTag>
      <w:r w:rsidR="00022F2E" w:rsidRPr="0064311D">
        <w:rPr>
          <w:szCs w:val="24"/>
        </w:rPr>
        <w:t xml:space="preserve"> counties.</w:t>
      </w:r>
    </w:p>
    <w:p w:rsidR="00607FF8" w:rsidRPr="0064311D" w:rsidRDefault="00607FF8" w:rsidP="00990EBA">
      <w:pPr>
        <w:jc w:val="both"/>
        <w:rPr>
          <w:szCs w:val="24"/>
        </w:rPr>
      </w:pPr>
    </w:p>
    <w:p w:rsidR="00A9507D" w:rsidRPr="0064311D" w:rsidRDefault="00A9507D" w:rsidP="00990EBA">
      <w:pPr>
        <w:jc w:val="both"/>
        <w:rPr>
          <w:szCs w:val="24"/>
        </w:rPr>
      </w:pPr>
    </w:p>
    <w:p w:rsidR="009A1D44" w:rsidRPr="0064311D" w:rsidRDefault="009A1D44" w:rsidP="00990EBA">
      <w:pPr>
        <w:numPr>
          <w:ilvl w:val="0"/>
          <w:numId w:val="3"/>
        </w:numPr>
        <w:jc w:val="both"/>
        <w:rPr>
          <w:b/>
          <w:bCs/>
          <w:szCs w:val="24"/>
        </w:rPr>
      </w:pPr>
      <w:r w:rsidRPr="0064311D">
        <w:rPr>
          <w:b/>
          <w:bCs/>
          <w:szCs w:val="24"/>
        </w:rPr>
        <w:t>RECOMMENDATIONS</w:t>
      </w:r>
    </w:p>
    <w:p w:rsidR="009A1D44" w:rsidRPr="0064311D" w:rsidRDefault="009A1D44" w:rsidP="00990EBA">
      <w:pPr>
        <w:jc w:val="both"/>
        <w:rPr>
          <w:szCs w:val="24"/>
        </w:rPr>
      </w:pPr>
    </w:p>
    <w:p w:rsidR="00EF67C7" w:rsidRPr="00EE6F8D" w:rsidRDefault="00EF67C7" w:rsidP="00C64603">
      <w:r w:rsidRPr="00EE6F8D">
        <w:rPr>
          <w:szCs w:val="24"/>
        </w:rPr>
        <w:t>The following are recommendations based on</w:t>
      </w:r>
      <w:r w:rsidR="009344EF" w:rsidRPr="00EE6F8D">
        <w:rPr>
          <w:szCs w:val="24"/>
        </w:rPr>
        <w:t xml:space="preserve"> an analysis of the data and</w:t>
      </w:r>
      <w:r w:rsidR="00C64603" w:rsidRPr="00EE6F8D">
        <w:rPr>
          <w:szCs w:val="24"/>
        </w:rPr>
        <w:t xml:space="preserve"> the </w:t>
      </w:r>
      <w:r w:rsidR="00C64603" w:rsidRPr="00EE6F8D">
        <w:t>Office of Minority Health’s Cultural and Linguistically Appropriate Services</w:t>
      </w:r>
      <w:r w:rsidR="00A54172" w:rsidRPr="00EE6F8D">
        <w:t xml:space="preserve"> (CLAS)</w:t>
      </w:r>
      <w:r w:rsidR="00C64603" w:rsidRPr="00EE6F8D">
        <w:t xml:space="preserve"> Standards</w:t>
      </w:r>
      <w:r w:rsidR="00A54172" w:rsidRPr="00EE6F8D">
        <w:t>. Among the 14 standards, Standards 4 through 7</w:t>
      </w:r>
      <w:r w:rsidR="00C64603" w:rsidRPr="00EE6F8D">
        <w:t xml:space="preserve"> </w:t>
      </w:r>
      <w:r w:rsidR="00A54172" w:rsidRPr="00EE6F8D">
        <w:t xml:space="preserve">pertain specifically to </w:t>
      </w:r>
      <w:r w:rsidR="00C64603" w:rsidRPr="00EE6F8D">
        <w:t>language access services.</w:t>
      </w:r>
    </w:p>
    <w:p w:rsidR="00EA52B9" w:rsidRPr="00EE6F8D" w:rsidRDefault="00EA52B9" w:rsidP="00EA52B9">
      <w:pPr>
        <w:pStyle w:val="NormalWeb"/>
        <w:spacing w:after="0" w:line="276" w:lineRule="auto"/>
        <w:rPr>
          <w:rFonts w:eastAsia="Times" w:cs="Calibri"/>
          <w:bCs/>
        </w:rPr>
      </w:pPr>
      <w:r w:rsidRPr="00EE6F8D">
        <w:rPr>
          <w:rFonts w:eastAsia="Times" w:cs="Calibri"/>
          <w:b/>
          <w:bCs/>
        </w:rPr>
        <w:t>Standard 4: Free language assistance services</w:t>
      </w:r>
      <w:r w:rsidRPr="00EE6F8D">
        <w:rPr>
          <w:rFonts w:eastAsia="Times" w:cs="Calibri"/>
          <w:b/>
          <w:bCs/>
        </w:rPr>
        <w:br/>
      </w:r>
      <w:r w:rsidR="00A54172" w:rsidRPr="00EE6F8D">
        <w:rPr>
          <w:rFonts w:eastAsia="Times" w:cs="Calibri"/>
          <w:bCs/>
        </w:rPr>
        <w:t>“</w:t>
      </w:r>
      <w:r w:rsidRPr="00EE6F8D">
        <w:rPr>
          <w:rFonts w:eastAsia="Times" w:cs="Calibri"/>
          <w:bCs/>
        </w:rPr>
        <w:t>Health care organizations must offer and provide language assistance services, including bilingual staff and interpreter services, at no cost to each patient/consumer with limited English proficiency at all points of contact, in a timely manner during all hours of operation.</w:t>
      </w:r>
      <w:r w:rsidR="00A54172" w:rsidRPr="00EE6F8D">
        <w:rPr>
          <w:rFonts w:eastAsia="Times" w:cs="Calibri"/>
          <w:bCs/>
        </w:rPr>
        <w:t>”</w:t>
      </w:r>
      <w:r w:rsidRPr="00EE6F8D">
        <w:rPr>
          <w:rFonts w:eastAsia="Times" w:cs="Calibri"/>
          <w:bCs/>
        </w:rPr>
        <w:t xml:space="preserve"> </w:t>
      </w:r>
    </w:p>
    <w:p w:rsidR="00EA52B9" w:rsidRPr="00EE6F8D" w:rsidRDefault="00EA52B9" w:rsidP="00EA52B9">
      <w:pPr>
        <w:pStyle w:val="NormalWeb"/>
        <w:numPr>
          <w:ilvl w:val="0"/>
          <w:numId w:val="10"/>
        </w:numPr>
        <w:spacing w:line="276" w:lineRule="auto"/>
        <w:rPr>
          <w:rFonts w:eastAsia="Times" w:cs="Calibri"/>
          <w:bCs/>
        </w:rPr>
      </w:pPr>
      <w:r w:rsidRPr="00EE6F8D">
        <w:rPr>
          <w:rFonts w:eastAsia="Times" w:cs="Calibri"/>
          <w:bCs/>
        </w:rPr>
        <w:t>Organizations should assess who they are currently serving and if they are providing appropriate language access.  Organizations should reach out to individuals that speak their county’s threshold languages but may not be seeking services.  It is important to determine if language access is one of the barriers to services for these clients and assist them in accessing the services they need.</w:t>
      </w:r>
    </w:p>
    <w:p w:rsidR="00EA52B9" w:rsidRPr="00EE6F8D" w:rsidRDefault="00EA52B9" w:rsidP="00EA52B9">
      <w:pPr>
        <w:pStyle w:val="NormalWeb"/>
        <w:numPr>
          <w:ilvl w:val="0"/>
          <w:numId w:val="10"/>
        </w:numPr>
        <w:spacing w:line="276" w:lineRule="auto"/>
        <w:rPr>
          <w:rFonts w:eastAsia="Times" w:cs="Calibri"/>
          <w:bCs/>
        </w:rPr>
      </w:pPr>
      <w:r w:rsidRPr="00EE6F8D">
        <w:rPr>
          <w:rFonts w:eastAsia="Times" w:cs="Calibri"/>
          <w:bCs/>
        </w:rPr>
        <w:t>Organizations should increase their bilingual workforce by recruiting, hiring, promoting, compensating, and supporting staff, interns, and volunteers who are bilingual and utilize more technological tools for interpretation.</w:t>
      </w:r>
    </w:p>
    <w:p w:rsidR="00EA52B9" w:rsidRPr="00EE6F8D" w:rsidRDefault="00EA52B9" w:rsidP="00EA52B9">
      <w:pPr>
        <w:pStyle w:val="NormalWeb"/>
        <w:numPr>
          <w:ilvl w:val="0"/>
          <w:numId w:val="10"/>
        </w:numPr>
        <w:spacing w:line="276" w:lineRule="auto"/>
        <w:rPr>
          <w:rFonts w:eastAsia="Times" w:cs="Calibri"/>
          <w:bCs/>
        </w:rPr>
      </w:pPr>
      <w:r w:rsidRPr="00EE6F8D">
        <w:rPr>
          <w:rFonts w:eastAsia="Times" w:cs="Calibri"/>
          <w:bCs/>
        </w:rPr>
        <w:lastRenderedPageBreak/>
        <w:t xml:space="preserve">Face-to-face interpretation should always be </w:t>
      </w:r>
      <w:r w:rsidR="007B14B4" w:rsidRPr="00EE6F8D">
        <w:rPr>
          <w:rFonts w:eastAsia="Times" w:cs="Calibri"/>
          <w:bCs/>
        </w:rPr>
        <w:t>first provided by</w:t>
      </w:r>
      <w:r w:rsidRPr="00EE6F8D">
        <w:rPr>
          <w:rFonts w:eastAsia="Times" w:cs="Calibri"/>
          <w:bCs/>
        </w:rPr>
        <w:t xml:space="preserve"> </w:t>
      </w:r>
      <w:r w:rsidR="007B14B4" w:rsidRPr="00EE6F8D">
        <w:rPr>
          <w:rFonts w:eastAsia="Times" w:cs="Calibri"/>
          <w:bCs/>
        </w:rPr>
        <w:t xml:space="preserve">a </w:t>
      </w:r>
      <w:r w:rsidRPr="00EE6F8D">
        <w:rPr>
          <w:rFonts w:eastAsia="Times" w:cs="Calibri"/>
          <w:bCs/>
        </w:rPr>
        <w:t xml:space="preserve">bilingual staff.  However, if </w:t>
      </w:r>
      <w:r w:rsidR="007B14B4" w:rsidRPr="00EE6F8D">
        <w:rPr>
          <w:rFonts w:eastAsia="Times" w:cs="Calibri"/>
          <w:bCs/>
        </w:rPr>
        <w:t xml:space="preserve">a </w:t>
      </w:r>
      <w:r w:rsidRPr="00EE6F8D">
        <w:rPr>
          <w:rFonts w:eastAsia="Times" w:cs="Calibri"/>
          <w:bCs/>
        </w:rPr>
        <w:t xml:space="preserve">bilingual staff is not available, qualified interpreters </w:t>
      </w:r>
      <w:r w:rsidR="007B14B4" w:rsidRPr="00EE6F8D">
        <w:rPr>
          <w:rFonts w:eastAsia="Times" w:cs="Calibri"/>
          <w:bCs/>
        </w:rPr>
        <w:t xml:space="preserve">should be used </w:t>
      </w:r>
      <w:r w:rsidRPr="00EE6F8D">
        <w:rPr>
          <w:rFonts w:eastAsia="Times" w:cs="Calibri"/>
          <w:bCs/>
        </w:rPr>
        <w:t>as back-up. Language lines should</w:t>
      </w:r>
      <w:r w:rsidR="007B14B4" w:rsidRPr="00EE6F8D">
        <w:rPr>
          <w:rFonts w:eastAsia="Times" w:cs="Calibri"/>
          <w:bCs/>
        </w:rPr>
        <w:t xml:space="preserve"> always</w:t>
      </w:r>
      <w:r w:rsidRPr="00EE6F8D">
        <w:rPr>
          <w:rFonts w:eastAsia="Times" w:cs="Calibri"/>
          <w:bCs/>
        </w:rPr>
        <w:t xml:space="preserve"> be used as a last resort.</w:t>
      </w:r>
    </w:p>
    <w:p w:rsidR="00EA52B9" w:rsidRPr="00EE6F8D" w:rsidRDefault="00EA52B9" w:rsidP="00EA52B9">
      <w:pPr>
        <w:pStyle w:val="NormalWeb"/>
        <w:numPr>
          <w:ilvl w:val="0"/>
          <w:numId w:val="10"/>
        </w:numPr>
        <w:rPr>
          <w:rFonts w:eastAsia="Times" w:cs="Calibri"/>
          <w:bCs/>
        </w:rPr>
      </w:pPr>
      <w:r w:rsidRPr="00EE6F8D">
        <w:rPr>
          <w:rFonts w:eastAsia="Times" w:cs="Calibri"/>
          <w:bCs/>
        </w:rPr>
        <w:t>Oral interpretation should be available in all languages and not just the threshold languages.</w:t>
      </w:r>
    </w:p>
    <w:p w:rsidR="00EA52B9" w:rsidRPr="00EE6F8D" w:rsidRDefault="00EA52B9" w:rsidP="00EA52B9">
      <w:pPr>
        <w:pStyle w:val="NormalWeb"/>
        <w:spacing w:after="0" w:line="276" w:lineRule="auto"/>
        <w:rPr>
          <w:rFonts w:eastAsia="Times" w:cs="Calibri"/>
        </w:rPr>
      </w:pPr>
      <w:r w:rsidRPr="00EE6F8D">
        <w:rPr>
          <w:rFonts w:eastAsia="Times" w:cs="Calibri"/>
          <w:b/>
          <w:bCs/>
        </w:rPr>
        <w:t>Standard 5: Inform patients of right to receive language assistance</w:t>
      </w:r>
      <w:r w:rsidRPr="00EE6F8D">
        <w:rPr>
          <w:rFonts w:eastAsia="Times" w:cs="Calibri"/>
          <w:b/>
          <w:bCs/>
        </w:rPr>
        <w:br/>
      </w:r>
      <w:r w:rsidR="00A54172" w:rsidRPr="00EE6F8D">
        <w:rPr>
          <w:rFonts w:eastAsia="Times" w:cs="Calibri"/>
        </w:rPr>
        <w:t>“</w:t>
      </w:r>
      <w:r w:rsidRPr="00EE6F8D">
        <w:rPr>
          <w:rFonts w:eastAsia="Times" w:cs="Calibri"/>
        </w:rPr>
        <w:t>Health care organizations must provide to patients/consumers in their preferred language both verbal offers and written notices informing them of their right to receive language assistance services.</w:t>
      </w:r>
      <w:r w:rsidR="00A54172" w:rsidRPr="00EE6F8D">
        <w:rPr>
          <w:rFonts w:eastAsia="Times" w:cs="Calibri"/>
        </w:rPr>
        <w:t>”</w:t>
      </w:r>
      <w:r w:rsidRPr="00EE6F8D">
        <w:rPr>
          <w:rFonts w:eastAsia="Times" w:cs="Calibri"/>
        </w:rPr>
        <w:t xml:space="preserve"> </w:t>
      </w:r>
    </w:p>
    <w:p w:rsidR="007B14B4" w:rsidRPr="00EE6F8D" w:rsidRDefault="007B14B4" w:rsidP="007B14B4">
      <w:pPr>
        <w:pStyle w:val="ListParagraph"/>
        <w:numPr>
          <w:ilvl w:val="0"/>
          <w:numId w:val="9"/>
        </w:numPr>
        <w:spacing w:line="276" w:lineRule="auto"/>
        <w:rPr>
          <w:rFonts w:cs="Calibri"/>
        </w:rPr>
      </w:pPr>
      <w:r w:rsidRPr="00EE6F8D">
        <w:rPr>
          <w:rFonts w:cs="Calibri"/>
        </w:rPr>
        <w:t>Organizations should develop policies and procedures to ask the preferred language(s) of all clients.</w:t>
      </w:r>
    </w:p>
    <w:p w:rsidR="007B14B4" w:rsidRPr="00EE6F8D" w:rsidRDefault="007B14B4" w:rsidP="007B14B4">
      <w:pPr>
        <w:pStyle w:val="ListParagraph"/>
        <w:numPr>
          <w:ilvl w:val="0"/>
          <w:numId w:val="9"/>
        </w:numPr>
        <w:spacing w:line="276" w:lineRule="auto"/>
        <w:rPr>
          <w:rFonts w:cs="Calibri"/>
        </w:rPr>
      </w:pPr>
      <w:r w:rsidRPr="00EE6F8D">
        <w:rPr>
          <w:rFonts w:cs="Calibri"/>
        </w:rPr>
        <w:t xml:space="preserve">Staff should be trained </w:t>
      </w:r>
      <w:r w:rsidRPr="00EE6F8D">
        <w:t xml:space="preserve">in cultural and linguistic competency to provide linguistic assistance in determining the language(s) clients prefer to use.  They should also receive training on how </w:t>
      </w:r>
      <w:r w:rsidRPr="00EE6F8D">
        <w:rPr>
          <w:rFonts w:cs="Calibri"/>
        </w:rPr>
        <w:t>to inform all clients of their right to language assistance.</w:t>
      </w:r>
    </w:p>
    <w:p w:rsidR="007B14B4" w:rsidRPr="00EE6F8D" w:rsidRDefault="007B14B4" w:rsidP="007B14B4">
      <w:pPr>
        <w:pStyle w:val="ListParagraph"/>
        <w:numPr>
          <w:ilvl w:val="0"/>
          <w:numId w:val="9"/>
        </w:numPr>
        <w:spacing w:line="276" w:lineRule="auto"/>
        <w:rPr>
          <w:rFonts w:cs="Calibri"/>
        </w:rPr>
      </w:pPr>
      <w:r w:rsidRPr="00EE6F8D">
        <w:rPr>
          <w:rFonts w:cs="Calibri"/>
        </w:rPr>
        <w:t>Organizations should post visible signage offering language assistance in all local threshold languages.</w:t>
      </w:r>
    </w:p>
    <w:p w:rsidR="00EA52B9" w:rsidRPr="00EE6F8D" w:rsidRDefault="00EA52B9" w:rsidP="00EA52B9">
      <w:pPr>
        <w:pStyle w:val="NormalWeb"/>
        <w:spacing w:after="0" w:line="276" w:lineRule="auto"/>
        <w:rPr>
          <w:rFonts w:eastAsia="Times" w:cs="Calibri"/>
        </w:rPr>
      </w:pPr>
      <w:r w:rsidRPr="00EE6F8D">
        <w:rPr>
          <w:rFonts w:eastAsia="Times" w:cs="Calibri"/>
          <w:b/>
          <w:bCs/>
        </w:rPr>
        <w:t>Standard 6: Quality of language assistance</w:t>
      </w:r>
      <w:r w:rsidRPr="00EE6F8D">
        <w:rPr>
          <w:rFonts w:eastAsia="Times" w:cs="Calibri"/>
          <w:b/>
          <w:bCs/>
        </w:rPr>
        <w:br/>
      </w:r>
      <w:r w:rsidR="00A54172" w:rsidRPr="00EE6F8D">
        <w:rPr>
          <w:rFonts w:eastAsia="Times" w:cs="Calibri"/>
        </w:rPr>
        <w:t>“</w:t>
      </w:r>
      <w:r w:rsidRPr="00EE6F8D">
        <w:rPr>
          <w:rFonts w:eastAsia="Times" w:cs="Calibri"/>
        </w:rPr>
        <w:t>Health care organizations must assure the competence of language assistance provided to limited English proficient patients/consumers by interpreters and bilingual staff. Family and friends should not be used to provide interpretation services (except on request by the patient/consumer).</w:t>
      </w:r>
      <w:r w:rsidR="00A54172" w:rsidRPr="00EE6F8D">
        <w:rPr>
          <w:rFonts w:eastAsia="Times" w:cs="Calibri"/>
        </w:rPr>
        <w:t>”</w:t>
      </w:r>
      <w:r w:rsidRPr="00EE6F8D">
        <w:rPr>
          <w:rFonts w:eastAsia="Times" w:cs="Calibri"/>
        </w:rPr>
        <w:t xml:space="preserve"> </w:t>
      </w:r>
    </w:p>
    <w:p w:rsidR="007B14B4" w:rsidRPr="00EE6F8D" w:rsidRDefault="007B14B4" w:rsidP="007B14B4">
      <w:pPr>
        <w:numPr>
          <w:ilvl w:val="0"/>
          <w:numId w:val="15"/>
        </w:numPr>
        <w:jc w:val="both"/>
      </w:pPr>
      <w:r w:rsidRPr="00EE6F8D">
        <w:rPr>
          <w:szCs w:val="24"/>
        </w:rPr>
        <w:t xml:space="preserve">Organizations should </w:t>
      </w:r>
      <w:r w:rsidRPr="00EE6F8D">
        <w:rPr>
          <w:i/>
          <w:iCs/>
          <w:szCs w:val="24"/>
        </w:rPr>
        <w:t>NOT</w:t>
      </w:r>
      <w:r w:rsidRPr="00EE6F8D">
        <w:rPr>
          <w:szCs w:val="24"/>
        </w:rPr>
        <w:t xml:space="preserve"> make assumptions about staff competencies and client preferences.   </w:t>
      </w:r>
    </w:p>
    <w:p w:rsidR="007B14B4" w:rsidRPr="00EE6F8D" w:rsidRDefault="007B14B4" w:rsidP="007B14B4">
      <w:pPr>
        <w:pStyle w:val="NormalWeb"/>
        <w:numPr>
          <w:ilvl w:val="0"/>
          <w:numId w:val="15"/>
        </w:numPr>
        <w:spacing w:after="0" w:line="276" w:lineRule="auto"/>
        <w:rPr>
          <w:rStyle w:val="Strong"/>
          <w:rFonts w:cs="Calibri"/>
          <w:b w:val="0"/>
          <w:bCs w:val="0"/>
        </w:rPr>
      </w:pPr>
      <w:r w:rsidRPr="00EE6F8D">
        <w:rPr>
          <w:rFonts w:cs="Calibri"/>
        </w:rPr>
        <w:t>Organizations should train staff on how to effectively use an interpreter</w:t>
      </w:r>
    </w:p>
    <w:p w:rsidR="007B14B4" w:rsidRPr="00EE6F8D" w:rsidRDefault="007B14B4" w:rsidP="00C9557C">
      <w:pPr>
        <w:pStyle w:val="NormalWeb"/>
        <w:numPr>
          <w:ilvl w:val="0"/>
          <w:numId w:val="15"/>
        </w:numPr>
        <w:spacing w:before="0" w:beforeAutospacing="0" w:after="0" w:afterAutospacing="0"/>
        <w:rPr>
          <w:rFonts w:cs="Calibri"/>
        </w:rPr>
      </w:pPr>
      <w:r w:rsidRPr="00EE6F8D">
        <w:rPr>
          <w:rFonts w:cs="Calibri"/>
        </w:rPr>
        <w:t>Interpreters should be qualified to work in the health industry and have no conflicts of interest with the client.</w:t>
      </w:r>
    </w:p>
    <w:p w:rsidR="007B14B4" w:rsidRPr="00EE6F8D" w:rsidRDefault="007B14B4" w:rsidP="00C9557C">
      <w:pPr>
        <w:pStyle w:val="NormalWeb"/>
        <w:numPr>
          <w:ilvl w:val="0"/>
          <w:numId w:val="12"/>
        </w:numPr>
        <w:spacing w:before="0" w:beforeAutospacing="0" w:after="0" w:afterAutospacing="0"/>
        <w:rPr>
          <w:rFonts w:cs="Calibri"/>
        </w:rPr>
      </w:pPr>
      <w:r w:rsidRPr="00EE6F8D">
        <w:rPr>
          <w:rFonts w:cs="Calibri"/>
        </w:rPr>
        <w:t xml:space="preserve">Providers should educate and counsel clients on when and how to use an interpreter and on confidentiality issues, reassuring clients who are not comfortable with </w:t>
      </w:r>
      <w:r w:rsidR="00C9557C" w:rsidRPr="00EE6F8D">
        <w:rPr>
          <w:rFonts w:cs="Calibri"/>
        </w:rPr>
        <w:t xml:space="preserve">certain </w:t>
      </w:r>
      <w:r w:rsidRPr="00EE6F8D">
        <w:rPr>
          <w:rFonts w:cs="Calibri"/>
        </w:rPr>
        <w:t>interpreters.</w:t>
      </w:r>
    </w:p>
    <w:p w:rsidR="00C9557C" w:rsidRPr="00EE6F8D" w:rsidRDefault="00C9557C" w:rsidP="00C9557C">
      <w:pPr>
        <w:pStyle w:val="NormalWeb"/>
        <w:spacing w:before="0" w:beforeAutospacing="0" w:after="0" w:afterAutospacing="0"/>
        <w:ind w:left="360"/>
        <w:rPr>
          <w:rFonts w:cs="Calibri"/>
        </w:rPr>
      </w:pPr>
    </w:p>
    <w:p w:rsidR="0064311D" w:rsidRPr="00EE6F8D" w:rsidRDefault="00EA52B9" w:rsidP="00C9557C">
      <w:pPr>
        <w:pStyle w:val="NormalWeb"/>
        <w:spacing w:after="0" w:line="276" w:lineRule="auto"/>
      </w:pPr>
      <w:r w:rsidRPr="00EE6F8D">
        <w:rPr>
          <w:b/>
          <w:bCs/>
        </w:rPr>
        <w:t xml:space="preserve">Standard 7: Materials and signage </w:t>
      </w:r>
      <w:r w:rsidRPr="00EE6F8D">
        <w:br/>
      </w:r>
      <w:r w:rsidR="00A54172" w:rsidRPr="00EE6F8D">
        <w:t>“</w:t>
      </w:r>
      <w:r w:rsidRPr="00EE6F8D">
        <w:t>Health care organizations must make available easily understood patient-related materials and post signage in the languages of the commonly encountered groups and/or groups represented in the service area.</w:t>
      </w:r>
      <w:r w:rsidR="00A54172" w:rsidRPr="00EE6F8D">
        <w:t>”</w:t>
      </w:r>
      <w:r w:rsidRPr="00EE6F8D">
        <w:t xml:space="preserve"> </w:t>
      </w:r>
    </w:p>
    <w:p w:rsidR="0064311D" w:rsidRPr="00EE6F8D" w:rsidRDefault="0064311D" w:rsidP="0064311D">
      <w:pPr>
        <w:pStyle w:val="NormalWeb"/>
        <w:numPr>
          <w:ilvl w:val="0"/>
          <w:numId w:val="11"/>
        </w:numPr>
        <w:spacing w:after="0" w:line="276" w:lineRule="auto"/>
        <w:rPr>
          <w:rFonts w:cs="Calibri"/>
        </w:rPr>
      </w:pPr>
      <w:r w:rsidRPr="00EE6F8D">
        <w:rPr>
          <w:rFonts w:cs="Calibri"/>
        </w:rPr>
        <w:lastRenderedPageBreak/>
        <w:t xml:space="preserve">Materials and signage must be available and accessible, according to local </w:t>
      </w:r>
      <w:r w:rsidR="00C9557C" w:rsidRPr="00EE6F8D">
        <w:rPr>
          <w:rFonts w:cs="Calibri"/>
        </w:rPr>
        <w:t>threshold language requirements.</w:t>
      </w:r>
    </w:p>
    <w:p w:rsidR="0064311D" w:rsidRPr="00EE6F8D" w:rsidRDefault="0064311D" w:rsidP="0064311D">
      <w:pPr>
        <w:pStyle w:val="NormalWeb"/>
        <w:numPr>
          <w:ilvl w:val="0"/>
          <w:numId w:val="11"/>
        </w:numPr>
        <w:spacing w:after="0" w:line="276" w:lineRule="auto"/>
        <w:rPr>
          <w:rFonts w:cs="Calibri"/>
        </w:rPr>
      </w:pPr>
      <w:r w:rsidRPr="00EE6F8D">
        <w:rPr>
          <w:rFonts w:cs="Calibri"/>
        </w:rPr>
        <w:t>Organizations should follow best practices in developing translated materials</w:t>
      </w:r>
      <w:r w:rsidR="00C9557C" w:rsidRPr="00EE6F8D">
        <w:rPr>
          <w:rFonts w:cs="Calibri"/>
        </w:rPr>
        <w:t>.</w:t>
      </w:r>
    </w:p>
    <w:p w:rsidR="0064311D" w:rsidRPr="00EE6F8D" w:rsidRDefault="00C9557C" w:rsidP="0064311D">
      <w:pPr>
        <w:pStyle w:val="NormalWeb"/>
        <w:numPr>
          <w:ilvl w:val="0"/>
          <w:numId w:val="11"/>
        </w:numPr>
        <w:spacing w:after="0" w:line="276" w:lineRule="auto"/>
        <w:rPr>
          <w:rFonts w:cs="Calibri"/>
        </w:rPr>
      </w:pPr>
      <w:r w:rsidRPr="00EE6F8D">
        <w:rPr>
          <w:rFonts w:cs="Calibri"/>
        </w:rPr>
        <w:t>Other language</w:t>
      </w:r>
      <w:r w:rsidR="0064311D" w:rsidRPr="00EE6F8D">
        <w:rPr>
          <w:rFonts w:cs="Calibri"/>
        </w:rPr>
        <w:t xml:space="preserve"> factors such as age appropriateness and literacy levels should also be considered when developing written materials</w:t>
      </w:r>
    </w:p>
    <w:p w:rsidR="00586670" w:rsidRPr="00EE6F8D" w:rsidRDefault="00586670" w:rsidP="00990EBA">
      <w:pPr>
        <w:autoSpaceDE w:val="0"/>
        <w:autoSpaceDN w:val="0"/>
        <w:adjustRightInd w:val="0"/>
        <w:jc w:val="both"/>
        <w:rPr>
          <w:rFonts w:cs="Arial"/>
          <w:color w:val="000000"/>
          <w:szCs w:val="24"/>
          <w:lang w:bidi="pa-IN"/>
        </w:rPr>
      </w:pPr>
    </w:p>
    <w:p w:rsidR="00076795" w:rsidRPr="00EE6F8D" w:rsidRDefault="00076795" w:rsidP="00554D8C">
      <w:pPr>
        <w:rPr>
          <w:b/>
          <w:bCs/>
        </w:rPr>
      </w:pPr>
      <w:r w:rsidRPr="00EE6F8D">
        <w:rPr>
          <w:b/>
          <w:bCs/>
        </w:rPr>
        <w:t xml:space="preserve">  </w:t>
      </w:r>
      <w:r w:rsidR="00551D2B" w:rsidRPr="00EE6F8D">
        <w:rPr>
          <w:b/>
          <w:bCs/>
        </w:rPr>
        <w:tab/>
      </w:r>
      <w:r w:rsidRPr="00EE6F8D">
        <w:rPr>
          <w:b/>
          <w:bCs/>
        </w:rPr>
        <w:t>5.  CONCLUSION</w:t>
      </w:r>
    </w:p>
    <w:p w:rsidR="00551D2B" w:rsidRPr="00EE6F8D" w:rsidRDefault="00551D2B" w:rsidP="00990EBA">
      <w:pPr>
        <w:autoSpaceDE w:val="0"/>
        <w:autoSpaceDN w:val="0"/>
        <w:adjustRightInd w:val="0"/>
        <w:jc w:val="both"/>
      </w:pPr>
    </w:p>
    <w:p w:rsidR="00551D2B" w:rsidRPr="00EE6F8D" w:rsidRDefault="00551D2B" w:rsidP="00551D2B">
      <w:pPr>
        <w:autoSpaceDE w:val="0"/>
        <w:autoSpaceDN w:val="0"/>
        <w:adjustRightInd w:val="0"/>
        <w:jc w:val="both"/>
        <w:rPr>
          <w:rFonts w:cs="Arial"/>
          <w:color w:val="000000"/>
          <w:szCs w:val="24"/>
          <w:lang w:bidi="pa-IN"/>
        </w:rPr>
      </w:pPr>
      <w:r w:rsidRPr="00EE6F8D">
        <w:rPr>
          <w:rFonts w:cs="Arial"/>
          <w:b/>
          <w:bCs/>
          <w:color w:val="000000"/>
          <w:szCs w:val="24"/>
          <w:lang w:bidi="pa-IN"/>
        </w:rPr>
        <w:t xml:space="preserve">Organizations should meet clients’ linguistic needs at the provider, </w:t>
      </w:r>
      <w:r w:rsidR="007271CD" w:rsidRPr="00EE6F8D">
        <w:rPr>
          <w:rFonts w:cs="Arial"/>
          <w:b/>
          <w:bCs/>
          <w:color w:val="000000"/>
          <w:szCs w:val="24"/>
          <w:lang w:bidi="pa-IN"/>
        </w:rPr>
        <w:t>organization and systems</w:t>
      </w:r>
      <w:r w:rsidRPr="00EE6F8D">
        <w:rPr>
          <w:rFonts w:cs="Arial"/>
          <w:b/>
          <w:bCs/>
          <w:color w:val="000000"/>
          <w:szCs w:val="24"/>
          <w:lang w:bidi="pa-IN"/>
        </w:rPr>
        <w:t xml:space="preserve"> levels.</w:t>
      </w:r>
      <w:r w:rsidRPr="00EE6F8D">
        <w:rPr>
          <w:rFonts w:cs="Arial"/>
          <w:color w:val="000000"/>
          <w:szCs w:val="24"/>
          <w:lang w:bidi="pa-IN"/>
        </w:rPr>
        <w:t xml:space="preserve">  </w:t>
      </w:r>
    </w:p>
    <w:p w:rsidR="00551D2B" w:rsidRPr="00EE6F8D" w:rsidRDefault="00551D2B" w:rsidP="00551D2B">
      <w:pPr>
        <w:autoSpaceDE w:val="0"/>
        <w:autoSpaceDN w:val="0"/>
        <w:adjustRightInd w:val="0"/>
        <w:jc w:val="both"/>
        <w:rPr>
          <w:rFonts w:cs="Arial"/>
          <w:color w:val="000000"/>
          <w:szCs w:val="24"/>
          <w:lang w:bidi="pa-IN"/>
        </w:rPr>
      </w:pPr>
    </w:p>
    <w:p w:rsidR="00C9557C" w:rsidRPr="00EE6F8D" w:rsidRDefault="00C9557C" w:rsidP="00551D2B">
      <w:pPr>
        <w:autoSpaceDE w:val="0"/>
        <w:autoSpaceDN w:val="0"/>
        <w:adjustRightInd w:val="0"/>
        <w:jc w:val="both"/>
        <w:rPr>
          <w:rFonts w:cs="Arial"/>
          <w:color w:val="000000"/>
          <w:szCs w:val="24"/>
          <w:lang w:bidi="pa-IN"/>
        </w:rPr>
      </w:pPr>
    </w:p>
    <w:p w:rsidR="007271CD" w:rsidRPr="00EE6F8D" w:rsidRDefault="007271CD" w:rsidP="007271CD">
      <w:pPr>
        <w:autoSpaceDE w:val="0"/>
        <w:autoSpaceDN w:val="0"/>
        <w:adjustRightInd w:val="0"/>
        <w:jc w:val="center"/>
        <w:rPr>
          <w:rFonts w:cs="Arial"/>
          <w:color w:val="000000"/>
          <w:szCs w:val="24"/>
          <w:u w:val="single"/>
          <w:lang w:bidi="pa-IN"/>
        </w:rPr>
      </w:pPr>
      <w:r w:rsidRPr="00EE6F8D">
        <w:rPr>
          <w:rFonts w:cs="Arial"/>
          <w:color w:val="000000"/>
          <w:szCs w:val="24"/>
          <w:u w:val="single"/>
          <w:lang w:bidi="pa-IN"/>
        </w:rPr>
        <w:t>PROVIDER LEVEL</w:t>
      </w:r>
    </w:p>
    <w:p w:rsidR="007271CD" w:rsidRPr="00EE6F8D" w:rsidRDefault="007271CD" w:rsidP="00551D2B">
      <w:pPr>
        <w:autoSpaceDE w:val="0"/>
        <w:autoSpaceDN w:val="0"/>
        <w:adjustRightInd w:val="0"/>
        <w:jc w:val="both"/>
        <w:rPr>
          <w:rFonts w:cs="Arial"/>
          <w:color w:val="000000"/>
          <w:szCs w:val="24"/>
          <w:lang w:bidi="pa-IN"/>
        </w:rPr>
      </w:pPr>
      <w:r w:rsidRPr="00EE6F8D">
        <w:rPr>
          <w:rFonts w:cs="Arial"/>
          <w:color w:val="000000"/>
          <w:szCs w:val="24"/>
          <w:lang w:bidi="pa-IN"/>
        </w:rPr>
        <w:t xml:space="preserve">Properly trained in cultural competency, </w:t>
      </w:r>
      <w:r w:rsidR="00551D2B" w:rsidRPr="00EE6F8D">
        <w:rPr>
          <w:rFonts w:cs="Arial"/>
          <w:color w:val="000000"/>
          <w:szCs w:val="24"/>
          <w:lang w:bidi="pa-IN"/>
        </w:rPr>
        <w:t xml:space="preserve">staff </w:t>
      </w:r>
      <w:r w:rsidRPr="00EE6F8D">
        <w:rPr>
          <w:rFonts w:cs="Arial"/>
          <w:color w:val="000000"/>
          <w:szCs w:val="24"/>
          <w:lang w:bidi="pa-IN"/>
        </w:rPr>
        <w:t xml:space="preserve">members </w:t>
      </w:r>
      <w:r w:rsidR="00551D2B" w:rsidRPr="00EE6F8D">
        <w:rPr>
          <w:rFonts w:cs="Arial"/>
          <w:color w:val="000000"/>
          <w:szCs w:val="24"/>
          <w:lang w:bidi="pa-IN"/>
        </w:rPr>
        <w:t>are either proficient in the language preferred by clients or can effectively work with</w:t>
      </w:r>
      <w:r w:rsidRPr="00EE6F8D">
        <w:rPr>
          <w:rFonts w:cs="Arial"/>
          <w:color w:val="000000"/>
          <w:szCs w:val="24"/>
          <w:lang w:bidi="pa-IN"/>
        </w:rPr>
        <w:t xml:space="preserve"> properly trained interpreters.  Clients are informed of their rights to language assistance and can easily indicate their language preferences.  </w:t>
      </w:r>
    </w:p>
    <w:p w:rsidR="00C9557C" w:rsidRPr="00EE6F8D" w:rsidRDefault="00C9557C" w:rsidP="00551D2B">
      <w:pPr>
        <w:autoSpaceDE w:val="0"/>
        <w:autoSpaceDN w:val="0"/>
        <w:adjustRightInd w:val="0"/>
        <w:jc w:val="both"/>
        <w:rPr>
          <w:rFonts w:cs="Arial"/>
          <w:color w:val="000000"/>
          <w:szCs w:val="24"/>
          <w:lang w:bidi="pa-IN"/>
        </w:rPr>
      </w:pPr>
    </w:p>
    <w:p w:rsidR="007271CD" w:rsidRPr="00EE6F8D" w:rsidRDefault="007271CD" w:rsidP="007271CD">
      <w:pPr>
        <w:autoSpaceDE w:val="0"/>
        <w:autoSpaceDN w:val="0"/>
        <w:adjustRightInd w:val="0"/>
        <w:jc w:val="center"/>
        <w:rPr>
          <w:rFonts w:cs="Arial"/>
          <w:color w:val="000000"/>
          <w:szCs w:val="24"/>
          <w:u w:val="single"/>
          <w:lang w:bidi="pa-IN"/>
        </w:rPr>
      </w:pPr>
      <w:r w:rsidRPr="00EE6F8D">
        <w:rPr>
          <w:rFonts w:cs="Arial"/>
          <w:color w:val="000000"/>
          <w:szCs w:val="24"/>
          <w:u w:val="single"/>
          <w:lang w:bidi="pa-IN"/>
        </w:rPr>
        <w:t>ORGANIZATION LEVEL</w:t>
      </w:r>
    </w:p>
    <w:p w:rsidR="004C1B6C" w:rsidRPr="00EE6F8D" w:rsidRDefault="008E7B73" w:rsidP="0096271F">
      <w:pPr>
        <w:jc w:val="both"/>
        <w:rPr>
          <w:rFonts w:cs="Arial"/>
          <w:color w:val="000000"/>
          <w:szCs w:val="24"/>
          <w:lang w:bidi="pa-IN"/>
        </w:rPr>
      </w:pPr>
      <w:r w:rsidRPr="00EE6F8D">
        <w:rPr>
          <w:rFonts w:cs="Arial"/>
          <w:color w:val="000000"/>
          <w:szCs w:val="24"/>
          <w:lang w:bidi="pa-IN"/>
        </w:rPr>
        <w:t>Organizations develop and implement policies and strategies to attract, employ, train, and support a bilingual workforce</w:t>
      </w:r>
      <w:r w:rsidR="00C9557C" w:rsidRPr="00EE6F8D">
        <w:rPr>
          <w:rFonts w:cs="Arial"/>
          <w:color w:val="000000"/>
          <w:szCs w:val="24"/>
          <w:lang w:bidi="pa-IN"/>
        </w:rPr>
        <w:t xml:space="preserve">.  </w:t>
      </w:r>
      <w:r w:rsidR="0096271F" w:rsidRPr="00EE6F8D">
        <w:t>There is a specific person or team in organizations responsible for ensuring that CLAS standards are met.  These individuals/teams would also be</w:t>
      </w:r>
      <w:r w:rsidR="00C9557C" w:rsidRPr="00EE6F8D">
        <w:t xml:space="preserve"> responsible </w:t>
      </w:r>
      <w:r w:rsidR="00551D2B" w:rsidRPr="00EE6F8D">
        <w:t xml:space="preserve">that policies </w:t>
      </w:r>
      <w:r w:rsidR="00787FB6" w:rsidRPr="00EE6F8D">
        <w:t xml:space="preserve">related to cultural competency </w:t>
      </w:r>
      <w:r w:rsidR="00551D2B" w:rsidRPr="00EE6F8D">
        <w:t>are enforced and are working effectively.</w:t>
      </w:r>
      <w:r w:rsidR="00551D2B" w:rsidRPr="00EE6F8D">
        <w:rPr>
          <w:rFonts w:cs="Arial"/>
          <w:color w:val="000000"/>
          <w:szCs w:val="24"/>
          <w:lang w:bidi="pa-IN"/>
        </w:rPr>
        <w:t xml:space="preserve">  </w:t>
      </w:r>
      <w:r w:rsidR="0096271F" w:rsidRPr="00EE6F8D">
        <w:rPr>
          <w:rFonts w:cs="Arial"/>
          <w:color w:val="000000"/>
          <w:szCs w:val="24"/>
          <w:lang w:bidi="pa-IN"/>
        </w:rPr>
        <w:t xml:space="preserve">Organizations </w:t>
      </w:r>
      <w:r w:rsidR="004C1B6C" w:rsidRPr="00EE6F8D">
        <w:rPr>
          <w:rFonts w:cs="Arial"/>
          <w:color w:val="000000"/>
          <w:szCs w:val="24"/>
          <w:lang w:bidi="pa-IN"/>
        </w:rPr>
        <w:t xml:space="preserve">have written materials and signage in </w:t>
      </w:r>
      <w:r w:rsidR="0096271F" w:rsidRPr="00EE6F8D">
        <w:rPr>
          <w:rFonts w:cs="Arial"/>
          <w:color w:val="000000"/>
          <w:szCs w:val="24"/>
          <w:lang w:bidi="pa-IN"/>
        </w:rPr>
        <w:t>clients’ preferred languages that are accessible to them.</w:t>
      </w:r>
    </w:p>
    <w:p w:rsidR="007271CD" w:rsidRPr="00EE6F8D" w:rsidRDefault="007271CD" w:rsidP="00551D2B">
      <w:pPr>
        <w:autoSpaceDE w:val="0"/>
        <w:autoSpaceDN w:val="0"/>
        <w:adjustRightInd w:val="0"/>
        <w:jc w:val="both"/>
        <w:rPr>
          <w:rFonts w:cs="Arial"/>
          <w:color w:val="000000"/>
          <w:szCs w:val="24"/>
          <w:lang w:bidi="pa-IN"/>
        </w:rPr>
      </w:pPr>
    </w:p>
    <w:p w:rsidR="007271CD" w:rsidRPr="00EE6F8D" w:rsidRDefault="007271CD" w:rsidP="007271CD">
      <w:pPr>
        <w:autoSpaceDE w:val="0"/>
        <w:autoSpaceDN w:val="0"/>
        <w:adjustRightInd w:val="0"/>
        <w:jc w:val="center"/>
        <w:rPr>
          <w:rFonts w:cs="Arial"/>
          <w:color w:val="000000"/>
          <w:szCs w:val="24"/>
          <w:u w:val="single"/>
          <w:lang w:bidi="pa-IN"/>
        </w:rPr>
      </w:pPr>
      <w:r w:rsidRPr="00EE6F8D">
        <w:rPr>
          <w:rFonts w:cs="Arial"/>
          <w:color w:val="000000"/>
          <w:szCs w:val="24"/>
          <w:u w:val="single"/>
          <w:lang w:bidi="pa-IN"/>
        </w:rPr>
        <w:t>SYSTEMS LEVEL</w:t>
      </w:r>
    </w:p>
    <w:p w:rsidR="009C4733" w:rsidRDefault="00B379AC" w:rsidP="009C4733">
      <w:pPr>
        <w:jc w:val="both"/>
        <w:rPr>
          <w:szCs w:val="24"/>
        </w:rPr>
      </w:pPr>
      <w:r w:rsidRPr="00EE6F8D">
        <w:rPr>
          <w:rFonts w:cs="Arial"/>
          <w:color w:val="000000"/>
          <w:szCs w:val="24"/>
          <w:lang w:bidi="pa-IN"/>
        </w:rPr>
        <w:t xml:space="preserve">Health systems develop and implement policies and strategies for strengthening a diverse, multilingual workforce. </w:t>
      </w:r>
      <w:r w:rsidR="008E7B73" w:rsidRPr="00EE6F8D">
        <w:rPr>
          <w:rFonts w:cs="Arial"/>
          <w:color w:val="000000"/>
          <w:szCs w:val="24"/>
          <w:lang w:bidi="pa-IN"/>
        </w:rPr>
        <w:t>Health systems, organizations, clients/consumers, and community stakeholders create meaningful partnerships to advocate for more funding and resources to support the linguistic needs of LEP</w:t>
      </w:r>
      <w:r w:rsidR="008E7B73" w:rsidRPr="00EE6F8D" w:rsidDel="00AF7E95">
        <w:rPr>
          <w:rFonts w:cs="Arial"/>
          <w:color w:val="000000"/>
          <w:szCs w:val="24"/>
          <w:lang w:bidi="pa-IN"/>
        </w:rPr>
        <w:t xml:space="preserve"> </w:t>
      </w:r>
      <w:r w:rsidR="008E7B73" w:rsidRPr="00EE6F8D">
        <w:rPr>
          <w:rFonts w:cs="Arial"/>
          <w:color w:val="000000"/>
          <w:szCs w:val="24"/>
          <w:lang w:bidi="pa-IN"/>
        </w:rPr>
        <w:t>clients.</w:t>
      </w:r>
      <w:r w:rsidR="00EE6F8D">
        <w:rPr>
          <w:rFonts w:cs="Arial"/>
          <w:color w:val="000000"/>
          <w:szCs w:val="24"/>
          <w:lang w:bidi="pa-IN"/>
        </w:rPr>
        <w:t xml:space="preserve">  </w:t>
      </w:r>
      <w:r w:rsidR="009C4733" w:rsidRPr="00EE6F8D">
        <w:rPr>
          <w:szCs w:val="24"/>
        </w:rPr>
        <w:t>Community members are voting for the rights of LEP clients and contacting government officials to support them.  Clients are</w:t>
      </w:r>
      <w:r w:rsidRPr="00EE6F8D">
        <w:rPr>
          <w:szCs w:val="24"/>
        </w:rPr>
        <w:t xml:space="preserve"> providing feedback and</w:t>
      </w:r>
      <w:r w:rsidR="009C4733" w:rsidRPr="00EE6F8D">
        <w:rPr>
          <w:szCs w:val="24"/>
        </w:rPr>
        <w:t xml:space="preserve"> sharing their stories.  Organizations are training providers, clients, and the community as advocates for the LEP community.</w:t>
      </w:r>
    </w:p>
    <w:p w:rsidR="00551D2B" w:rsidRPr="0064311D" w:rsidRDefault="00551D2B" w:rsidP="00551D2B">
      <w:pPr>
        <w:autoSpaceDE w:val="0"/>
        <w:autoSpaceDN w:val="0"/>
        <w:adjustRightInd w:val="0"/>
        <w:jc w:val="both"/>
        <w:rPr>
          <w:rFonts w:cs="Arial"/>
          <w:color w:val="000000"/>
          <w:szCs w:val="24"/>
          <w:lang w:bidi="pa-IN"/>
        </w:rPr>
      </w:pPr>
    </w:p>
    <w:p w:rsidR="00586670" w:rsidRPr="0064311D" w:rsidRDefault="00586670" w:rsidP="00990EBA">
      <w:pPr>
        <w:autoSpaceDE w:val="0"/>
        <w:autoSpaceDN w:val="0"/>
        <w:adjustRightInd w:val="0"/>
        <w:jc w:val="both"/>
        <w:rPr>
          <w:rFonts w:cs="Arial"/>
          <w:color w:val="000000"/>
          <w:szCs w:val="24"/>
          <w:lang w:bidi="pa-IN"/>
        </w:rPr>
      </w:pPr>
    </w:p>
    <w:sectPr w:rsidR="00586670" w:rsidRPr="0064311D" w:rsidSect="006B1215">
      <w:headerReference w:type="default" r:id="rId12"/>
      <w:pgSz w:w="12240" w:h="15840"/>
      <w:pgMar w:top="1440" w:right="1800" w:bottom="180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4A" w:rsidRDefault="00B57F4A">
      <w:r>
        <w:separator/>
      </w:r>
    </w:p>
    <w:p w:rsidR="00B57F4A" w:rsidRDefault="00B57F4A"/>
  </w:endnote>
  <w:endnote w:type="continuationSeparator" w:id="0">
    <w:p w:rsidR="00B57F4A" w:rsidRDefault="00B57F4A">
      <w:r>
        <w:continuationSeparator/>
      </w:r>
    </w:p>
    <w:p w:rsidR="00B57F4A" w:rsidRDefault="00B57F4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4A" w:rsidRDefault="00B57F4A">
      <w:r>
        <w:separator/>
      </w:r>
    </w:p>
    <w:p w:rsidR="00B57F4A" w:rsidRDefault="00B57F4A"/>
  </w:footnote>
  <w:footnote w:type="continuationSeparator" w:id="0">
    <w:p w:rsidR="00B57F4A" w:rsidRDefault="00B57F4A">
      <w:r>
        <w:continuationSeparator/>
      </w:r>
    </w:p>
    <w:p w:rsidR="00B57F4A" w:rsidRDefault="00B57F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E0" w:rsidRPr="00824213" w:rsidRDefault="001A4EE0" w:rsidP="00824213">
    <w:pPr>
      <w:pStyle w:val="Header"/>
      <w:jc w:val="right"/>
      <w:rPr>
        <w:sz w:val="20"/>
        <w:szCs w:val="20"/>
      </w:rPr>
    </w:pPr>
    <w:r w:rsidRPr="00824213">
      <w:rPr>
        <w:sz w:val="20"/>
        <w:szCs w:val="20"/>
      </w:rPr>
      <w:t>NICOS Chinese Health Coalition</w:t>
    </w:r>
  </w:p>
  <w:p w:rsidR="001A4EE0" w:rsidRPr="00824213" w:rsidRDefault="001A4EE0" w:rsidP="00824213">
    <w:pPr>
      <w:pStyle w:val="Header"/>
      <w:jc w:val="right"/>
      <w:rPr>
        <w:sz w:val="20"/>
        <w:szCs w:val="20"/>
      </w:rPr>
    </w:pPr>
    <w:r w:rsidRPr="00824213">
      <w:rPr>
        <w:sz w:val="20"/>
        <w:szCs w:val="20"/>
      </w:rPr>
      <w:t xml:space="preserve"> 2012 report to ONTRACK Program Resources</w:t>
    </w:r>
  </w:p>
  <w:p w:rsidR="001A4EE0" w:rsidRPr="00824213" w:rsidRDefault="001A4EE0" w:rsidP="00824213">
    <w:pPr>
      <w:pStyle w:val="Header"/>
      <w:jc w:val="right"/>
      <w:rPr>
        <w:rStyle w:val="PageNumber"/>
        <w:sz w:val="20"/>
        <w:szCs w:val="20"/>
      </w:rPr>
    </w:pPr>
    <w:r w:rsidRPr="00824213">
      <w:rPr>
        <w:rStyle w:val="PageNumber"/>
        <w:sz w:val="20"/>
        <w:szCs w:val="20"/>
      </w:rPr>
      <w:fldChar w:fldCharType="begin"/>
    </w:r>
    <w:r w:rsidRPr="00824213">
      <w:rPr>
        <w:rStyle w:val="PageNumber"/>
        <w:sz w:val="20"/>
        <w:szCs w:val="20"/>
      </w:rPr>
      <w:instrText xml:space="preserve"> PAGE </w:instrText>
    </w:r>
    <w:r w:rsidRPr="00824213">
      <w:rPr>
        <w:rStyle w:val="PageNumber"/>
        <w:sz w:val="20"/>
        <w:szCs w:val="20"/>
      </w:rPr>
      <w:fldChar w:fldCharType="separate"/>
    </w:r>
    <w:r w:rsidR="002007DC">
      <w:rPr>
        <w:rStyle w:val="PageNumber"/>
        <w:noProof/>
        <w:sz w:val="20"/>
        <w:szCs w:val="20"/>
      </w:rPr>
      <w:t>8</w:t>
    </w:r>
    <w:r w:rsidRPr="00824213">
      <w:rPr>
        <w:rStyle w:val="PageNumber"/>
        <w:sz w:val="20"/>
        <w:szCs w:val="20"/>
      </w:rPr>
      <w:fldChar w:fldCharType="end"/>
    </w:r>
    <w:r w:rsidRPr="00824213">
      <w:rPr>
        <w:rStyle w:val="PageNumber"/>
        <w:sz w:val="20"/>
        <w:szCs w:val="20"/>
      </w:rPr>
      <w:t xml:space="preserve"> of </w:t>
    </w:r>
    <w:r w:rsidRPr="00824213">
      <w:rPr>
        <w:rStyle w:val="PageNumber"/>
        <w:sz w:val="20"/>
        <w:szCs w:val="20"/>
      </w:rPr>
      <w:fldChar w:fldCharType="begin"/>
    </w:r>
    <w:r w:rsidRPr="00824213">
      <w:rPr>
        <w:rStyle w:val="PageNumber"/>
        <w:sz w:val="20"/>
        <w:szCs w:val="20"/>
      </w:rPr>
      <w:instrText xml:space="preserve"> NUMPAGES </w:instrText>
    </w:r>
    <w:r w:rsidRPr="00824213">
      <w:rPr>
        <w:rStyle w:val="PageNumber"/>
        <w:sz w:val="20"/>
        <w:szCs w:val="20"/>
      </w:rPr>
      <w:fldChar w:fldCharType="separate"/>
    </w:r>
    <w:r w:rsidR="002007DC">
      <w:rPr>
        <w:rStyle w:val="PageNumber"/>
        <w:noProof/>
        <w:sz w:val="20"/>
        <w:szCs w:val="20"/>
      </w:rPr>
      <w:t>8</w:t>
    </w:r>
    <w:r w:rsidRPr="00824213">
      <w:rPr>
        <w:rStyle w:val="PageNumber"/>
        <w:sz w:val="20"/>
        <w:szCs w:val="20"/>
      </w:rPr>
      <w:fldChar w:fldCharType="end"/>
    </w:r>
  </w:p>
  <w:p w:rsidR="001A4EE0" w:rsidRDefault="001A4EE0" w:rsidP="00824213">
    <w:pPr>
      <w:pStyle w:val="Header"/>
      <w:jc w:val="right"/>
    </w:pPr>
  </w:p>
  <w:p w:rsidR="001A4EE0" w:rsidRDefault="001A4E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8C0"/>
    <w:multiLevelType w:val="hybridMultilevel"/>
    <w:tmpl w:val="5CA6B6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2101F"/>
    <w:multiLevelType w:val="multilevel"/>
    <w:tmpl w:val="F3FA7678"/>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A81DD4"/>
    <w:multiLevelType w:val="multilevel"/>
    <w:tmpl w:val="F45C1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32FD5"/>
    <w:multiLevelType w:val="hybridMultilevel"/>
    <w:tmpl w:val="8BA0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64026"/>
    <w:multiLevelType w:val="hybridMultilevel"/>
    <w:tmpl w:val="82BA8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95A87"/>
    <w:multiLevelType w:val="hybridMultilevel"/>
    <w:tmpl w:val="8A6A9B82"/>
    <w:lvl w:ilvl="0" w:tplc="BC2C9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193A62"/>
    <w:multiLevelType w:val="hybridMultilevel"/>
    <w:tmpl w:val="A0A41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C8A7174"/>
    <w:multiLevelType w:val="hybridMultilevel"/>
    <w:tmpl w:val="9962E7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255A2D"/>
    <w:multiLevelType w:val="hybridMultilevel"/>
    <w:tmpl w:val="9814AC8C"/>
    <w:lvl w:ilvl="0" w:tplc="1A2E9B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3F4328AC"/>
    <w:multiLevelType w:val="hybridMultilevel"/>
    <w:tmpl w:val="26B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124EA"/>
    <w:multiLevelType w:val="hybridMultilevel"/>
    <w:tmpl w:val="96B8A946"/>
    <w:lvl w:ilvl="0" w:tplc="B082218C">
      <w:start w:val="1"/>
      <w:numFmt w:val="upperRoman"/>
      <w:lvlText w:val="%1."/>
      <w:lvlJc w:val="left"/>
      <w:pPr>
        <w:tabs>
          <w:tab w:val="num" w:pos="720"/>
        </w:tabs>
        <w:ind w:left="720" w:hanging="720"/>
      </w:pPr>
      <w:rPr>
        <w:rFonts w:hint="default"/>
      </w:rPr>
    </w:lvl>
    <w:lvl w:ilvl="1" w:tplc="95B02D9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3E0CD5"/>
    <w:multiLevelType w:val="multilevel"/>
    <w:tmpl w:val="165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8059E"/>
    <w:multiLevelType w:val="multilevel"/>
    <w:tmpl w:val="BEC2CD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B804E2"/>
    <w:multiLevelType w:val="hybridMultilevel"/>
    <w:tmpl w:val="4E661FBC"/>
    <w:lvl w:ilvl="0" w:tplc="F6EC3C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DD6AE0"/>
    <w:multiLevelType w:val="hybridMultilevel"/>
    <w:tmpl w:val="AE86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92BAB"/>
    <w:multiLevelType w:val="multilevel"/>
    <w:tmpl w:val="4E661F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7D3A67"/>
    <w:multiLevelType w:val="hybridMultilevel"/>
    <w:tmpl w:val="A252BEC6"/>
    <w:lvl w:ilvl="0" w:tplc="F6EC3C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788671D9"/>
    <w:multiLevelType w:val="hybridMultilevel"/>
    <w:tmpl w:val="BEC2CD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FB02BE"/>
    <w:multiLevelType w:val="multilevel"/>
    <w:tmpl w:val="B93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3"/>
  </w:num>
  <w:num w:numId="4">
    <w:abstractNumId w:val="2"/>
  </w:num>
  <w:num w:numId="5">
    <w:abstractNumId w:val="1"/>
  </w:num>
  <w:num w:numId="6">
    <w:abstractNumId w:val="15"/>
  </w:num>
  <w:num w:numId="7">
    <w:abstractNumId w:val="16"/>
  </w:num>
  <w:num w:numId="8">
    <w:abstractNumId w:val="4"/>
  </w:num>
  <w:num w:numId="9">
    <w:abstractNumId w:val="3"/>
  </w:num>
  <w:num w:numId="10">
    <w:abstractNumId w:val="6"/>
  </w:num>
  <w:num w:numId="11">
    <w:abstractNumId w:val="14"/>
  </w:num>
  <w:num w:numId="12">
    <w:abstractNumId w:val="9"/>
  </w:num>
  <w:num w:numId="13">
    <w:abstractNumId w:val="17"/>
  </w:num>
  <w:num w:numId="14">
    <w:abstractNumId w:val="12"/>
  </w:num>
  <w:num w:numId="15">
    <w:abstractNumId w:val="5"/>
  </w:num>
  <w:num w:numId="16">
    <w:abstractNumId w:val="11"/>
  </w:num>
  <w:num w:numId="17">
    <w:abstractNumId w:val="0"/>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758A8"/>
    <w:rsid w:val="000009C5"/>
    <w:rsid w:val="00022F2E"/>
    <w:rsid w:val="00032B12"/>
    <w:rsid w:val="00032CEB"/>
    <w:rsid w:val="00033A28"/>
    <w:rsid w:val="00072FF8"/>
    <w:rsid w:val="00076795"/>
    <w:rsid w:val="00084B84"/>
    <w:rsid w:val="00097EA2"/>
    <w:rsid w:val="000A22D3"/>
    <w:rsid w:val="000D33A7"/>
    <w:rsid w:val="000F48F3"/>
    <w:rsid w:val="000F4C35"/>
    <w:rsid w:val="000F7C3D"/>
    <w:rsid w:val="00110F47"/>
    <w:rsid w:val="00112576"/>
    <w:rsid w:val="00114670"/>
    <w:rsid w:val="001151B7"/>
    <w:rsid w:val="00115EBF"/>
    <w:rsid w:val="00122620"/>
    <w:rsid w:val="001266C5"/>
    <w:rsid w:val="0013347C"/>
    <w:rsid w:val="00134F82"/>
    <w:rsid w:val="001451EC"/>
    <w:rsid w:val="001860F6"/>
    <w:rsid w:val="00187E11"/>
    <w:rsid w:val="00194CEC"/>
    <w:rsid w:val="001A07E3"/>
    <w:rsid w:val="001A2B39"/>
    <w:rsid w:val="001A4EE0"/>
    <w:rsid w:val="001D25A2"/>
    <w:rsid w:val="001D55F7"/>
    <w:rsid w:val="001E0AC8"/>
    <w:rsid w:val="002007DC"/>
    <w:rsid w:val="00204D95"/>
    <w:rsid w:val="00211EBE"/>
    <w:rsid w:val="00240194"/>
    <w:rsid w:val="00260AA5"/>
    <w:rsid w:val="002655A5"/>
    <w:rsid w:val="0027420C"/>
    <w:rsid w:val="00284BC3"/>
    <w:rsid w:val="00294CBA"/>
    <w:rsid w:val="002A0343"/>
    <w:rsid w:val="002E312C"/>
    <w:rsid w:val="00304A14"/>
    <w:rsid w:val="00304BA4"/>
    <w:rsid w:val="00310697"/>
    <w:rsid w:val="00310CF4"/>
    <w:rsid w:val="0031361A"/>
    <w:rsid w:val="003248BE"/>
    <w:rsid w:val="00341FCD"/>
    <w:rsid w:val="0035584C"/>
    <w:rsid w:val="00380166"/>
    <w:rsid w:val="003A77BD"/>
    <w:rsid w:val="003E3F7C"/>
    <w:rsid w:val="003E69FB"/>
    <w:rsid w:val="003F35AE"/>
    <w:rsid w:val="003F79FE"/>
    <w:rsid w:val="00405C19"/>
    <w:rsid w:val="00413F0B"/>
    <w:rsid w:val="00423AA7"/>
    <w:rsid w:val="00431966"/>
    <w:rsid w:val="004468EC"/>
    <w:rsid w:val="00466185"/>
    <w:rsid w:val="004662B2"/>
    <w:rsid w:val="00472693"/>
    <w:rsid w:val="004807B6"/>
    <w:rsid w:val="00486B3B"/>
    <w:rsid w:val="004A5237"/>
    <w:rsid w:val="004C075F"/>
    <w:rsid w:val="004C1B19"/>
    <w:rsid w:val="004C1B6C"/>
    <w:rsid w:val="004D5470"/>
    <w:rsid w:val="004E18E4"/>
    <w:rsid w:val="004E2CCE"/>
    <w:rsid w:val="004E5F7F"/>
    <w:rsid w:val="0050107A"/>
    <w:rsid w:val="00527E63"/>
    <w:rsid w:val="00532AD2"/>
    <w:rsid w:val="0053777E"/>
    <w:rsid w:val="00551D2B"/>
    <w:rsid w:val="00554D8C"/>
    <w:rsid w:val="0055662D"/>
    <w:rsid w:val="00565646"/>
    <w:rsid w:val="00573F7B"/>
    <w:rsid w:val="005751A7"/>
    <w:rsid w:val="00586670"/>
    <w:rsid w:val="00594D09"/>
    <w:rsid w:val="005A0DA2"/>
    <w:rsid w:val="005A2DB6"/>
    <w:rsid w:val="005A41F1"/>
    <w:rsid w:val="005B634B"/>
    <w:rsid w:val="005E097B"/>
    <w:rsid w:val="005E323B"/>
    <w:rsid w:val="00601AB2"/>
    <w:rsid w:val="006075B5"/>
    <w:rsid w:val="00607FF8"/>
    <w:rsid w:val="00620FE9"/>
    <w:rsid w:val="0062773C"/>
    <w:rsid w:val="0063099B"/>
    <w:rsid w:val="006316C1"/>
    <w:rsid w:val="0064311D"/>
    <w:rsid w:val="00647E33"/>
    <w:rsid w:val="006630DF"/>
    <w:rsid w:val="00665FA0"/>
    <w:rsid w:val="00675AAF"/>
    <w:rsid w:val="006773E4"/>
    <w:rsid w:val="00694572"/>
    <w:rsid w:val="006B1215"/>
    <w:rsid w:val="006C6673"/>
    <w:rsid w:val="006F3194"/>
    <w:rsid w:val="007271CD"/>
    <w:rsid w:val="00737AAA"/>
    <w:rsid w:val="007431D8"/>
    <w:rsid w:val="00747742"/>
    <w:rsid w:val="00761BF7"/>
    <w:rsid w:val="00763FDA"/>
    <w:rsid w:val="0077763D"/>
    <w:rsid w:val="007804D3"/>
    <w:rsid w:val="00784D5A"/>
    <w:rsid w:val="00787FB6"/>
    <w:rsid w:val="0079405B"/>
    <w:rsid w:val="007B14B4"/>
    <w:rsid w:val="007C0107"/>
    <w:rsid w:val="007C4C40"/>
    <w:rsid w:val="007D37EE"/>
    <w:rsid w:val="007E40FC"/>
    <w:rsid w:val="007E5CF3"/>
    <w:rsid w:val="00810020"/>
    <w:rsid w:val="00824213"/>
    <w:rsid w:val="00824A80"/>
    <w:rsid w:val="008526BF"/>
    <w:rsid w:val="00863201"/>
    <w:rsid w:val="008758A8"/>
    <w:rsid w:val="008779D2"/>
    <w:rsid w:val="008918C7"/>
    <w:rsid w:val="008A4459"/>
    <w:rsid w:val="008B41AF"/>
    <w:rsid w:val="008E1779"/>
    <w:rsid w:val="008E5320"/>
    <w:rsid w:val="008E7B73"/>
    <w:rsid w:val="008F6476"/>
    <w:rsid w:val="00902689"/>
    <w:rsid w:val="0090718E"/>
    <w:rsid w:val="00910C58"/>
    <w:rsid w:val="00920BE5"/>
    <w:rsid w:val="009311B2"/>
    <w:rsid w:val="009344EF"/>
    <w:rsid w:val="00946B43"/>
    <w:rsid w:val="0094771B"/>
    <w:rsid w:val="0095297D"/>
    <w:rsid w:val="0096271F"/>
    <w:rsid w:val="00963B27"/>
    <w:rsid w:val="009705D1"/>
    <w:rsid w:val="009874C4"/>
    <w:rsid w:val="00990EBA"/>
    <w:rsid w:val="0099356B"/>
    <w:rsid w:val="009A1D44"/>
    <w:rsid w:val="009A6B98"/>
    <w:rsid w:val="009C4733"/>
    <w:rsid w:val="009D4136"/>
    <w:rsid w:val="00A01AF6"/>
    <w:rsid w:val="00A07F76"/>
    <w:rsid w:val="00A30BFE"/>
    <w:rsid w:val="00A41486"/>
    <w:rsid w:val="00A54172"/>
    <w:rsid w:val="00A9421D"/>
    <w:rsid w:val="00A9507D"/>
    <w:rsid w:val="00AB18C6"/>
    <w:rsid w:val="00AE369D"/>
    <w:rsid w:val="00AE6E54"/>
    <w:rsid w:val="00AE78CF"/>
    <w:rsid w:val="00AF33D2"/>
    <w:rsid w:val="00AF5E1C"/>
    <w:rsid w:val="00AF7E95"/>
    <w:rsid w:val="00B1225D"/>
    <w:rsid w:val="00B27437"/>
    <w:rsid w:val="00B379AC"/>
    <w:rsid w:val="00B5281C"/>
    <w:rsid w:val="00B53F60"/>
    <w:rsid w:val="00B57F4A"/>
    <w:rsid w:val="00B946BC"/>
    <w:rsid w:val="00BA5833"/>
    <w:rsid w:val="00BB6150"/>
    <w:rsid w:val="00BC7B1E"/>
    <w:rsid w:val="00BE6413"/>
    <w:rsid w:val="00BF791C"/>
    <w:rsid w:val="00BF79F4"/>
    <w:rsid w:val="00C002F0"/>
    <w:rsid w:val="00C06354"/>
    <w:rsid w:val="00C27660"/>
    <w:rsid w:val="00C34787"/>
    <w:rsid w:val="00C36837"/>
    <w:rsid w:val="00C55C8E"/>
    <w:rsid w:val="00C617EA"/>
    <w:rsid w:val="00C64603"/>
    <w:rsid w:val="00C9557C"/>
    <w:rsid w:val="00CA4974"/>
    <w:rsid w:val="00CC078F"/>
    <w:rsid w:val="00CC2554"/>
    <w:rsid w:val="00CF5C4B"/>
    <w:rsid w:val="00D21361"/>
    <w:rsid w:val="00D25EBC"/>
    <w:rsid w:val="00D267CF"/>
    <w:rsid w:val="00D55068"/>
    <w:rsid w:val="00D558A6"/>
    <w:rsid w:val="00D7276F"/>
    <w:rsid w:val="00DA1367"/>
    <w:rsid w:val="00DA21F6"/>
    <w:rsid w:val="00DB3418"/>
    <w:rsid w:val="00DC37A0"/>
    <w:rsid w:val="00DD7CC9"/>
    <w:rsid w:val="00DE232E"/>
    <w:rsid w:val="00DF0CFE"/>
    <w:rsid w:val="00DF7492"/>
    <w:rsid w:val="00E111B6"/>
    <w:rsid w:val="00E4025F"/>
    <w:rsid w:val="00E452F9"/>
    <w:rsid w:val="00E74018"/>
    <w:rsid w:val="00E860F4"/>
    <w:rsid w:val="00E87145"/>
    <w:rsid w:val="00E90D1F"/>
    <w:rsid w:val="00E938E8"/>
    <w:rsid w:val="00EA52B9"/>
    <w:rsid w:val="00EB017A"/>
    <w:rsid w:val="00EE6F8D"/>
    <w:rsid w:val="00EF67C7"/>
    <w:rsid w:val="00F10DC9"/>
    <w:rsid w:val="00F14777"/>
    <w:rsid w:val="00F60452"/>
    <w:rsid w:val="00F66456"/>
    <w:rsid w:val="00F773DF"/>
    <w:rsid w:val="00F77EB9"/>
    <w:rsid w:val="00F82888"/>
    <w:rsid w:val="00F90460"/>
    <w:rsid w:val="00F949A7"/>
    <w:rsid w:val="00F95787"/>
    <w:rsid w:val="00FA0CC1"/>
    <w:rsid w:val="00FD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8A8"/>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58A8"/>
    <w:pPr>
      <w:tabs>
        <w:tab w:val="center" w:pos="4320"/>
        <w:tab w:val="right" w:pos="8640"/>
      </w:tabs>
    </w:pPr>
    <w:rPr>
      <w:rFonts w:eastAsia="SimSun"/>
      <w:szCs w:val="24"/>
      <w:lang w:eastAsia="zh-CN"/>
    </w:rPr>
  </w:style>
  <w:style w:type="paragraph" w:styleId="BalloonText">
    <w:name w:val="Balloon Text"/>
    <w:basedOn w:val="Normal"/>
    <w:semiHidden/>
    <w:rsid w:val="00824213"/>
    <w:rPr>
      <w:rFonts w:ascii="Tahoma" w:hAnsi="Tahoma" w:cs="Tahoma"/>
      <w:sz w:val="16"/>
      <w:szCs w:val="16"/>
    </w:rPr>
  </w:style>
  <w:style w:type="paragraph" w:styleId="Footer">
    <w:name w:val="footer"/>
    <w:basedOn w:val="Normal"/>
    <w:rsid w:val="00824213"/>
    <w:pPr>
      <w:tabs>
        <w:tab w:val="center" w:pos="4320"/>
        <w:tab w:val="right" w:pos="8640"/>
      </w:tabs>
    </w:pPr>
  </w:style>
  <w:style w:type="character" w:styleId="PageNumber">
    <w:name w:val="page number"/>
    <w:basedOn w:val="DefaultParagraphFont"/>
    <w:rsid w:val="00824213"/>
  </w:style>
  <w:style w:type="table" w:styleId="TableGrid">
    <w:name w:val="Table Grid"/>
    <w:basedOn w:val="TableNormal"/>
    <w:rsid w:val="0082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rsid w:val="00824A8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rsid w:val="00F90460"/>
    <w:pPr>
      <w:spacing w:before="100" w:beforeAutospacing="1" w:after="100" w:afterAutospacing="1"/>
    </w:pPr>
    <w:rPr>
      <w:rFonts w:eastAsia="SimSun"/>
      <w:szCs w:val="24"/>
      <w:lang w:eastAsia="zh-CN"/>
    </w:rPr>
  </w:style>
  <w:style w:type="character" w:styleId="Hyperlink">
    <w:name w:val="Hyperlink"/>
    <w:rsid w:val="00F90460"/>
    <w:rPr>
      <w:color w:val="0000FF"/>
      <w:u w:val="single"/>
    </w:rPr>
  </w:style>
  <w:style w:type="character" w:styleId="Strong">
    <w:name w:val="Strong"/>
    <w:qFormat/>
    <w:rsid w:val="00112576"/>
    <w:rPr>
      <w:b/>
      <w:bCs/>
    </w:rPr>
  </w:style>
  <w:style w:type="paragraph" w:customStyle="1" w:styleId="Default">
    <w:name w:val="Default"/>
    <w:rsid w:val="00D25EBC"/>
    <w:pPr>
      <w:autoSpaceDE w:val="0"/>
      <w:autoSpaceDN w:val="0"/>
      <w:adjustRightInd w:val="0"/>
    </w:pPr>
    <w:rPr>
      <w:rFonts w:ascii="Arial" w:hAnsi="Arial" w:cs="Arial"/>
      <w:color w:val="000000"/>
      <w:sz w:val="24"/>
      <w:szCs w:val="24"/>
      <w:lang w:bidi="pa-IN"/>
    </w:rPr>
  </w:style>
  <w:style w:type="character" w:styleId="CommentReference">
    <w:name w:val="annotation reference"/>
    <w:semiHidden/>
    <w:rsid w:val="00413F0B"/>
    <w:rPr>
      <w:sz w:val="16"/>
      <w:szCs w:val="16"/>
    </w:rPr>
  </w:style>
  <w:style w:type="paragraph" w:styleId="CommentText">
    <w:name w:val="annotation text"/>
    <w:basedOn w:val="Normal"/>
    <w:semiHidden/>
    <w:rsid w:val="00413F0B"/>
    <w:rPr>
      <w:sz w:val="20"/>
    </w:rPr>
  </w:style>
  <w:style w:type="paragraph" w:styleId="CommentSubject">
    <w:name w:val="annotation subject"/>
    <w:basedOn w:val="CommentText"/>
    <w:next w:val="CommentText"/>
    <w:semiHidden/>
    <w:rsid w:val="00413F0B"/>
    <w:rPr>
      <w:b/>
      <w:bCs/>
    </w:rPr>
  </w:style>
  <w:style w:type="paragraph" w:styleId="FootnoteText">
    <w:name w:val="footnote text"/>
    <w:basedOn w:val="Normal"/>
    <w:semiHidden/>
    <w:rsid w:val="00902689"/>
    <w:rPr>
      <w:sz w:val="20"/>
    </w:rPr>
  </w:style>
  <w:style w:type="character" w:styleId="FootnoteReference">
    <w:name w:val="footnote reference"/>
    <w:semiHidden/>
    <w:rsid w:val="00902689"/>
    <w:rPr>
      <w:vertAlign w:val="superscript"/>
    </w:rPr>
  </w:style>
  <w:style w:type="character" w:customStyle="1" w:styleId="header1">
    <w:name w:val="header1"/>
    <w:basedOn w:val="DefaultParagraphFont"/>
    <w:rsid w:val="00FA0CC1"/>
  </w:style>
  <w:style w:type="paragraph" w:styleId="ListParagraph">
    <w:name w:val="List Paragraph"/>
    <w:basedOn w:val="Normal"/>
    <w:qFormat/>
    <w:rsid w:val="0064311D"/>
    <w:pPr>
      <w:ind w:left="720"/>
      <w:contextualSpacing/>
    </w:pPr>
    <w:rPr>
      <w:szCs w:val="24"/>
      <w:lang w:eastAsia="zh-CN"/>
    </w:rPr>
  </w:style>
  <w:style w:type="paragraph" w:customStyle="1" w:styleId="smallfont">
    <w:name w:val="smallfont"/>
    <w:basedOn w:val="Normal"/>
    <w:rsid w:val="001266C5"/>
    <w:pPr>
      <w:spacing w:before="100" w:beforeAutospacing="1" w:after="100" w:afterAutospacing="1"/>
    </w:pPr>
    <w:rPr>
      <w:szCs w:val="24"/>
      <w:lang w:bidi="pa-IN"/>
    </w:rPr>
  </w:style>
  <w:style w:type="character" w:customStyle="1" w:styleId="apple-converted-space">
    <w:name w:val="apple-converted-space"/>
    <w:basedOn w:val="DefaultParagraphFont"/>
    <w:rsid w:val="001266C5"/>
  </w:style>
</w:styles>
</file>

<file path=word/webSettings.xml><?xml version="1.0" encoding="utf-8"?>
<w:webSettings xmlns:r="http://schemas.openxmlformats.org/officeDocument/2006/relationships" xmlns:w="http://schemas.openxmlformats.org/wordprocessingml/2006/main">
  <w:divs>
    <w:div w:id="477457726">
      <w:bodyDiv w:val="1"/>
      <w:marLeft w:val="0"/>
      <w:marRight w:val="0"/>
      <w:marTop w:val="0"/>
      <w:marBottom w:val="0"/>
      <w:divBdr>
        <w:top w:val="none" w:sz="0" w:space="0" w:color="auto"/>
        <w:left w:val="none" w:sz="0" w:space="0" w:color="auto"/>
        <w:bottom w:val="none" w:sz="0" w:space="0" w:color="auto"/>
        <w:right w:val="none" w:sz="0" w:space="0" w:color="auto"/>
      </w:divBdr>
    </w:div>
    <w:div w:id="479735701">
      <w:bodyDiv w:val="1"/>
      <w:marLeft w:val="0"/>
      <w:marRight w:val="0"/>
      <w:marTop w:val="0"/>
      <w:marBottom w:val="0"/>
      <w:divBdr>
        <w:top w:val="none" w:sz="0" w:space="0" w:color="auto"/>
        <w:left w:val="none" w:sz="0" w:space="0" w:color="auto"/>
        <w:bottom w:val="none" w:sz="0" w:space="0" w:color="auto"/>
        <w:right w:val="none" w:sz="0" w:space="0" w:color="auto"/>
      </w:divBdr>
      <w:divsChild>
        <w:div w:id="949820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74938">
      <w:bodyDiv w:val="1"/>
      <w:marLeft w:val="0"/>
      <w:marRight w:val="0"/>
      <w:marTop w:val="0"/>
      <w:marBottom w:val="0"/>
      <w:divBdr>
        <w:top w:val="none" w:sz="0" w:space="0" w:color="auto"/>
        <w:left w:val="none" w:sz="0" w:space="0" w:color="auto"/>
        <w:bottom w:val="none" w:sz="0" w:space="0" w:color="auto"/>
        <w:right w:val="none" w:sz="0" w:space="0" w:color="auto"/>
      </w:divBdr>
    </w:div>
    <w:div w:id="899632523">
      <w:bodyDiv w:val="1"/>
      <w:marLeft w:val="0"/>
      <w:marRight w:val="0"/>
      <w:marTop w:val="0"/>
      <w:marBottom w:val="0"/>
      <w:divBdr>
        <w:top w:val="none" w:sz="0" w:space="0" w:color="auto"/>
        <w:left w:val="none" w:sz="0" w:space="0" w:color="auto"/>
        <w:bottom w:val="none" w:sz="0" w:space="0" w:color="auto"/>
        <w:right w:val="none" w:sz="0" w:space="0" w:color="auto"/>
      </w:divBdr>
    </w:div>
    <w:div w:id="99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03917098">
          <w:marLeft w:val="0"/>
          <w:marRight w:val="0"/>
          <w:marTop w:val="0"/>
          <w:marBottom w:val="0"/>
          <w:divBdr>
            <w:top w:val="none" w:sz="0" w:space="0" w:color="auto"/>
            <w:left w:val="none" w:sz="0" w:space="0" w:color="auto"/>
            <w:bottom w:val="none" w:sz="0" w:space="0" w:color="auto"/>
            <w:right w:val="none" w:sz="0" w:space="0" w:color="auto"/>
          </w:divBdr>
        </w:div>
      </w:divsChild>
    </w:div>
    <w:div w:id="1261375016">
      <w:bodyDiv w:val="1"/>
      <w:marLeft w:val="0"/>
      <w:marRight w:val="0"/>
      <w:marTop w:val="0"/>
      <w:marBottom w:val="0"/>
      <w:divBdr>
        <w:top w:val="none" w:sz="0" w:space="0" w:color="auto"/>
        <w:left w:val="none" w:sz="0" w:space="0" w:color="auto"/>
        <w:bottom w:val="none" w:sz="0" w:space="0" w:color="auto"/>
        <w:right w:val="none" w:sz="0" w:space="0" w:color="auto"/>
      </w:divBdr>
      <w:divsChild>
        <w:div w:id="1287155788">
          <w:marLeft w:val="0"/>
          <w:marRight w:val="0"/>
          <w:marTop w:val="0"/>
          <w:marBottom w:val="0"/>
          <w:divBdr>
            <w:top w:val="none" w:sz="0" w:space="0" w:color="auto"/>
            <w:left w:val="none" w:sz="0" w:space="0" w:color="auto"/>
            <w:bottom w:val="none" w:sz="0" w:space="0" w:color="auto"/>
            <w:right w:val="none" w:sz="0" w:space="0" w:color="auto"/>
          </w:divBdr>
        </w:div>
      </w:divsChild>
    </w:div>
    <w:div w:id="1595702674">
      <w:bodyDiv w:val="1"/>
      <w:marLeft w:val="0"/>
      <w:marRight w:val="0"/>
      <w:marTop w:val="0"/>
      <w:marBottom w:val="0"/>
      <w:divBdr>
        <w:top w:val="none" w:sz="0" w:space="0" w:color="auto"/>
        <w:left w:val="none" w:sz="0" w:space="0" w:color="auto"/>
        <w:bottom w:val="none" w:sz="0" w:space="0" w:color="auto"/>
        <w:right w:val="none" w:sz="0" w:space="0" w:color="auto"/>
      </w:divBdr>
    </w:div>
    <w:div w:id="1603761655">
      <w:bodyDiv w:val="1"/>
      <w:marLeft w:val="0"/>
      <w:marRight w:val="0"/>
      <w:marTop w:val="0"/>
      <w:marBottom w:val="0"/>
      <w:divBdr>
        <w:top w:val="none" w:sz="0" w:space="0" w:color="auto"/>
        <w:left w:val="none" w:sz="0" w:space="0" w:color="auto"/>
        <w:bottom w:val="none" w:sz="0" w:space="0" w:color="auto"/>
        <w:right w:val="none" w:sz="0" w:space="0" w:color="auto"/>
      </w:divBdr>
    </w:div>
    <w:div w:id="1830635265">
      <w:bodyDiv w:val="1"/>
      <w:marLeft w:val="0"/>
      <w:marRight w:val="0"/>
      <w:marTop w:val="0"/>
      <w:marBottom w:val="0"/>
      <w:divBdr>
        <w:top w:val="none" w:sz="0" w:space="0" w:color="auto"/>
        <w:left w:val="none" w:sz="0" w:space="0" w:color="auto"/>
        <w:bottom w:val="none" w:sz="0" w:space="0" w:color="auto"/>
        <w:right w:val="none" w:sz="0" w:space="0" w:color="auto"/>
      </w:divBdr>
    </w:div>
    <w:div w:id="1837256957">
      <w:bodyDiv w:val="1"/>
      <w:marLeft w:val="0"/>
      <w:marRight w:val="0"/>
      <w:marTop w:val="0"/>
      <w:marBottom w:val="0"/>
      <w:divBdr>
        <w:top w:val="none" w:sz="0" w:space="0" w:color="auto"/>
        <w:left w:val="none" w:sz="0" w:space="0" w:color="auto"/>
        <w:bottom w:val="none" w:sz="0" w:space="0" w:color="auto"/>
        <w:right w:val="none" w:sz="0" w:space="0" w:color="auto"/>
      </w:divBdr>
    </w:div>
    <w:div w:id="1980763850">
      <w:bodyDiv w:val="1"/>
      <w:marLeft w:val="0"/>
      <w:marRight w:val="0"/>
      <w:marTop w:val="0"/>
      <w:marBottom w:val="0"/>
      <w:divBdr>
        <w:top w:val="none" w:sz="0" w:space="0" w:color="auto"/>
        <w:left w:val="none" w:sz="0" w:space="0" w:color="auto"/>
        <w:bottom w:val="none" w:sz="0" w:space="0" w:color="auto"/>
        <w:right w:val="none" w:sz="0" w:space="0" w:color="auto"/>
      </w:divBdr>
    </w:div>
    <w:div w:id="2082822564">
      <w:bodyDiv w:val="1"/>
      <w:marLeft w:val="0"/>
      <w:marRight w:val="0"/>
      <w:marTop w:val="0"/>
      <w:marBottom w:val="0"/>
      <w:divBdr>
        <w:top w:val="none" w:sz="0" w:space="0" w:color="auto"/>
        <w:left w:val="none" w:sz="0" w:space="0" w:color="auto"/>
        <w:bottom w:val="none" w:sz="0" w:space="0" w:color="auto"/>
        <w:right w:val="none" w:sz="0" w:space="0" w:color="auto"/>
      </w:divBdr>
    </w:div>
    <w:div w:id="2089960212">
      <w:bodyDiv w:val="1"/>
      <w:marLeft w:val="0"/>
      <w:marRight w:val="0"/>
      <w:marTop w:val="0"/>
      <w:marBottom w:val="0"/>
      <w:divBdr>
        <w:top w:val="none" w:sz="0" w:space="0" w:color="auto"/>
        <w:left w:val="none" w:sz="0" w:space="0" w:color="auto"/>
        <w:bottom w:val="none" w:sz="0" w:space="0" w:color="auto"/>
        <w:right w:val="none" w:sz="0" w:space="0" w:color="auto"/>
      </w:divBdr>
    </w:div>
    <w:div w:id="21018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rst_langu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nglish_langua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i%20Le\Dropbox\CLAS\LEP%20Report\Chart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6"/>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Percent of People Who Don't Speak English at Home</a:t>
            </a:r>
          </a:p>
        </c:rich>
      </c:tx>
    </c:title>
    <c:plotArea>
      <c:layout/>
      <c:barChart>
        <c:barDir val="col"/>
        <c:grouping val="clustered"/>
        <c:ser>
          <c:idx val="0"/>
          <c:order val="0"/>
          <c:dLbls>
            <c:numFmt formatCode="0%" sourceLinked="0"/>
            <c:txPr>
              <a:bodyPr/>
              <a:lstStyle/>
              <a:p>
                <a:pPr>
                  <a:defRPr b="1">
                    <a:latin typeface="Times New Roman" pitchFamily="18" charset="0"/>
                    <a:cs typeface="Times New Roman" pitchFamily="18" charset="0"/>
                  </a:defRPr>
                </a:pPr>
                <a:endParaRPr lang="en-US"/>
              </a:p>
            </c:txPr>
            <c:showVal val="1"/>
          </c:dLbls>
          <c:cat>
            <c:strRef>
              <c:f>Sheet1!$A$2:$A$5</c:f>
              <c:strCache>
                <c:ptCount val="4"/>
                <c:pt idx="0">
                  <c:v>Spanish or Spanish Creole</c:v>
                </c:pt>
                <c:pt idx="1">
                  <c:v>Asian and Pacific Islander Languages</c:v>
                </c:pt>
                <c:pt idx="2">
                  <c:v>Other Indo-European Languages</c:v>
                </c:pt>
                <c:pt idx="3">
                  <c:v>Other Languages</c:v>
                </c:pt>
              </c:strCache>
            </c:strRef>
          </c:cat>
          <c:val>
            <c:numRef>
              <c:f>Sheet1!$B$2:$B$5</c:f>
              <c:numCache>
                <c:formatCode>0.00%</c:formatCode>
                <c:ptCount val="4"/>
                <c:pt idx="0">
                  <c:v>0.66000000000000025</c:v>
                </c:pt>
                <c:pt idx="1">
                  <c:v>0.22</c:v>
                </c:pt>
                <c:pt idx="2">
                  <c:v>0.1</c:v>
                </c:pt>
                <c:pt idx="3">
                  <c:v>2.0000000000000007E-2</c:v>
                </c:pt>
              </c:numCache>
            </c:numRef>
          </c:val>
        </c:ser>
        <c:gapWidth val="75"/>
        <c:overlap val="-25"/>
        <c:axId val="93872128"/>
        <c:axId val="93873664"/>
      </c:barChart>
      <c:catAx>
        <c:axId val="93872128"/>
        <c:scaling>
          <c:orientation val="minMax"/>
        </c:scaling>
        <c:axPos val="b"/>
        <c:numFmt formatCode="General" sourceLinked="1"/>
        <c:majorTickMark val="none"/>
        <c:tickLblPos val="nextTo"/>
        <c:txPr>
          <a:bodyPr rot="0" vert="horz"/>
          <a:lstStyle/>
          <a:p>
            <a:pPr>
              <a:defRPr sz="900" b="0">
                <a:latin typeface="Times New Roman" pitchFamily="18" charset="0"/>
                <a:cs typeface="Times New Roman" pitchFamily="18" charset="0"/>
              </a:defRPr>
            </a:pPr>
            <a:endParaRPr lang="en-US"/>
          </a:p>
        </c:txPr>
        <c:crossAx val="93873664"/>
        <c:crosses val="autoZero"/>
        <c:auto val="1"/>
        <c:lblAlgn val="ctr"/>
        <c:lblOffset val="100"/>
        <c:tickLblSkip val="1"/>
        <c:tickMarkSkip val="1"/>
      </c:catAx>
      <c:valAx>
        <c:axId val="93873664"/>
        <c:scaling>
          <c:orientation val="minMax"/>
        </c:scaling>
        <c:axPos val="l"/>
        <c:majorGridlines/>
        <c:numFmt formatCode="0%" sourceLinked="0"/>
        <c:majorTickMark val="none"/>
        <c:tickLblPos val="nextTo"/>
        <c:spPr>
          <a:ln w="9525">
            <a:noFill/>
          </a:ln>
        </c:spPr>
        <c:txPr>
          <a:bodyPr rot="0" vert="horz"/>
          <a:lstStyle/>
          <a:p>
            <a:pPr>
              <a:defRPr>
                <a:latin typeface="Times New Roman" pitchFamily="18" charset="0"/>
                <a:cs typeface="Times New Roman" pitchFamily="18" charset="0"/>
              </a:defRPr>
            </a:pPr>
            <a:endParaRPr lang="en-US"/>
          </a:p>
        </c:txPr>
        <c:crossAx val="93872128"/>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NICOS Chinese Health Coalition</vt:lpstr>
    </vt:vector>
  </TitlesOfParts>
  <Company>RLr, Inc.</Company>
  <LinksUpToDate>false</LinksUpToDate>
  <CharactersWithSpaces>14694</CharactersWithSpaces>
  <SharedDoc>false</SharedDoc>
  <HLinks>
    <vt:vector size="12" baseType="variant">
      <vt:variant>
        <vt:i4>7274519</vt:i4>
      </vt:variant>
      <vt:variant>
        <vt:i4>3</vt:i4>
      </vt:variant>
      <vt:variant>
        <vt:i4>0</vt:i4>
      </vt:variant>
      <vt:variant>
        <vt:i4>5</vt:i4>
      </vt:variant>
      <vt:variant>
        <vt:lpwstr>http://en.wikipedia.org/wiki/First_language</vt:lpwstr>
      </vt:variant>
      <vt:variant>
        <vt:lpwstr/>
      </vt:variant>
      <vt:variant>
        <vt:i4>786556</vt:i4>
      </vt:variant>
      <vt:variant>
        <vt:i4>0</vt:i4>
      </vt:variant>
      <vt:variant>
        <vt:i4>0</vt:i4>
      </vt:variant>
      <vt:variant>
        <vt:i4>5</vt:i4>
      </vt:variant>
      <vt:variant>
        <vt:lpwstr>http://en.wikipedia.org/wiki/English_language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NICOS Chinese Health Coalition</dc:title>
  <dc:creator>Lisa</dc:creator>
  <cp:lastModifiedBy>mmarch</cp:lastModifiedBy>
  <cp:revision>2</cp:revision>
  <cp:lastPrinted>2012-05-10T00:37:00Z</cp:lastPrinted>
  <dcterms:created xsi:type="dcterms:W3CDTF">2012-10-29T18:36:00Z</dcterms:created>
  <dcterms:modified xsi:type="dcterms:W3CDTF">2012-10-29T18:36:00Z</dcterms:modified>
</cp:coreProperties>
</file>